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60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2020年自治区区域协同创新专项（上海合作组织科技伙伴计划及国际科技合作计划）</w:t>
      </w:r>
    </w:p>
    <w:p>
      <w:pPr>
        <w:snapToGrid w:val="0"/>
        <w:spacing w:line="60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项目申报指南</w:t>
      </w:r>
    </w:p>
    <w:p>
      <w:pPr>
        <w:jc w:val="center"/>
        <w:rPr>
          <w:rFonts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2020年自治区上海合作</w:t>
      </w:r>
      <w:bookmarkStart w:id="0" w:name="_GoBack"/>
      <w:bookmarkEnd w:id="0"/>
      <w:r>
        <w:rPr>
          <w:rFonts w:hint="eastAsia" w:ascii="方正仿宋_GBK" w:hAnsi="方正仿宋_GBK" w:eastAsia="方正仿宋_GBK" w:cs="方正仿宋_GBK"/>
          <w:sz w:val="32"/>
          <w:szCs w:val="32"/>
        </w:rPr>
        <w:t>组织科技伙伴计划及国际科技合作计划，按照国家加强创新能力开放合作、实施“一带一路”科技创新行动的要求，根据丝绸之路经济带核心区科技中心建设的需要，充分发挥科技创新合作的引领支撑作用，引导自治区科研院所、高等学校、科技型企业、科技企业孵化器等，以农业、能源、资源、环境、医药健康、防灾减灾等技术领域为重点，加强与发达国家、中亚国家等丝绸之路经济带沿线国家的国际科技合作与交流。面向中亚国家等“一带一路”沿线国家，重点推进实施科技人文交流行动、联合实验室行动、技术转移行动；面向发达国家，重点在自治区优势重点科技领域，推进与全球领先科研机构和团队的国际科技合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2020年自治区上海合作组织科技伙伴计划及国际科技合作计划设重点项目、一般项目两类。重点项目2项以内，支持额度为100万元左右。一般项目15～20项，支持额度为30万元左右。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一、重点项目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中乌咸海盐碱地植被建植技术联合研究中心建设（附件1）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中丹粘胶纤维废气催化氧化技术联合研发及中试（附件2）</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二、一般项目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面向中亚国家等“一带一路”沿线国家，在农业、能源、资源、环境、医药健康、防灾减灾等方面，支持举办先进适用技术培训班，开展关键技术的联合研发与示范，建设国际科技合作平台和基地。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加强与发达国家的国际科技合作。在自治区优势重点科技领域，支持与全球领先的科研机构和团队合作，提升利用全球创新资源的能力，提高产业技术水平、科技创新水平。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支持中俄哈蒙阿尔泰区域科技合作。支持与俄罗斯阿尔泰边疆区、阿尔泰共和国，哈萨克斯坦东哈萨克斯坦州，蒙古国科布多省、巴彦乌列盖省相关机构合作，开展农业、畜牧业、林业、矿业等方面的区域科技合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自治区国际科技合作其它重点任务。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三、申报要求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申报单位应为自治区境内注册的企事业单位，拥有较强的科研能力和条件。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项目申请人已承担的项目尚未验收或结题，不得再次申请。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申报重点项目，须覆盖重点项目的全部任务和考核指标。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项目应合作理由充分、目标明确、内容具体，合作方案合理可行，预期成效明显，项目指标可考核。预期指标应包括实施期内申请或取得专利的情况。项目实施年限不超过3年。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申报单位应具备相应的合作基础和能力，与外方合作伙伴有良好合作互信。须有针对项目申报内容的合作协议。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鼓励产学研联合申报、东西部联合申报。鼓励企业自筹资金，通过国际科技合作产生明显的经济效益。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7.</w:t>
      </w:r>
      <w:r>
        <w:rPr>
          <w:rFonts w:hint="eastAsia" w:ascii="方正仿宋_GBK" w:hAnsi="方正仿宋_GBK" w:eastAsia="方正仿宋_GBK" w:cs="方正仿宋_GBK"/>
          <w:sz w:val="32"/>
          <w:szCs w:val="32"/>
        </w:rPr>
        <w:t>项目应有效保护知识产权、保护涉及国家安全的相关信息资源等，合理分享合作研发成果，维护我方权益。</w:t>
      </w:r>
    </w:p>
    <w:p>
      <w:pPr>
        <w:keepNext w:val="0"/>
        <w:keepLines w:val="0"/>
        <w:pageBreakBefore w:val="0"/>
        <w:kinsoku/>
        <w:wordWrap/>
        <w:overflowPunct/>
        <w:topLinePunct w:val="0"/>
        <w:autoSpaceDE/>
        <w:autoSpaceDN/>
        <w:bidi w:val="0"/>
        <w:adjustRightInd/>
        <w:snapToGrid w:val="0"/>
        <w:spacing w:line="52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四、联系方式</w:t>
      </w:r>
    </w:p>
    <w:p>
      <w:pPr>
        <w:keepNext w:val="0"/>
        <w:keepLines w:val="0"/>
        <w:pageBreakBefore w:val="0"/>
        <w:kinsoku/>
        <w:wordWrap/>
        <w:overflowPunct/>
        <w:topLinePunct w:val="0"/>
        <w:autoSpaceDE/>
        <w:autoSpaceDN/>
        <w:bidi w:val="0"/>
        <w:adjustRightInd/>
        <w:spacing w:line="520" w:lineRule="exact"/>
        <w:ind w:left="0" w:leftChars="0" w:right="0" w:rightChars="0" w:firstLine="639" w:firstLineChars="213"/>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管理处室：</w:t>
      </w:r>
      <w:r>
        <w:rPr>
          <w:rFonts w:hint="eastAsia" w:ascii="方正仿宋_GBK" w:hAnsi="方正仿宋_GBK" w:eastAsia="方正仿宋_GBK" w:cs="方正仿宋_GBK"/>
          <w:sz w:val="32"/>
          <w:szCs w:val="32"/>
        </w:rPr>
        <w:t>自治区科技厅</w:t>
      </w:r>
      <w:r>
        <w:rPr>
          <w:rFonts w:hint="eastAsia" w:ascii="仿宋" w:hAnsi="仿宋" w:eastAsia="仿宋" w:cs="仿宋"/>
          <w:sz w:val="32"/>
          <w:szCs w:val="32"/>
          <w:lang w:eastAsia="zh-CN"/>
        </w:rPr>
        <w:t>国际合作</w:t>
      </w:r>
      <w:r>
        <w:rPr>
          <w:rFonts w:hint="eastAsia" w:ascii="仿宋" w:hAnsi="仿宋" w:eastAsia="仿宋" w:cs="仿宋"/>
          <w:sz w:val="32"/>
          <w:szCs w:val="32"/>
        </w:rPr>
        <w:t>处</w:t>
      </w:r>
    </w:p>
    <w:p>
      <w:pPr>
        <w:keepNext w:val="0"/>
        <w:keepLines w:val="0"/>
        <w:pageBreakBefore w:val="0"/>
        <w:kinsoku/>
        <w:wordWrap/>
        <w:overflowPunct/>
        <w:topLinePunct w:val="0"/>
        <w:autoSpaceDE/>
        <w:autoSpaceDN/>
        <w:bidi w:val="0"/>
        <w:adjustRightInd/>
        <w:spacing w:line="520" w:lineRule="exact"/>
        <w:ind w:left="0" w:leftChars="0" w:right="0" w:rightChars="0" w:firstLine="639" w:firstLineChars="213"/>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联 系 人：李艳艳</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46" w:firstLineChars="202"/>
        <w:jc w:val="both"/>
        <w:textAlignment w:val="auto"/>
        <w:outlineLvl w:val="9"/>
        <w:rPr>
          <w:rFonts w:hint="eastAsia" w:ascii="仿宋" w:hAnsi="仿宋" w:eastAsia="仿宋" w:cs="仿宋"/>
          <w:sz w:val="32"/>
          <w:szCs w:val="32"/>
          <w:lang w:val="en-US" w:eastAsia="zh-CN"/>
        </w:rPr>
      </w:pPr>
      <w:r>
        <w:rPr>
          <w:rFonts w:hint="eastAsia" w:ascii="方正仿宋_GBK" w:hAnsi="方正仿宋_GBK" w:eastAsia="方正仿宋_GBK" w:cs="方正仿宋_GBK"/>
          <w:sz w:val="32"/>
          <w:szCs w:val="32"/>
          <w:lang w:val="en-US" w:eastAsia="zh-CN"/>
        </w:rPr>
        <w:t>联系电话：0991-3822201</w:t>
      </w:r>
    </w:p>
    <w:p>
      <w:pPr>
        <w:keepNext w:val="0"/>
        <w:keepLines w:val="0"/>
        <w:pageBreakBefore w:val="0"/>
        <w:kinsoku/>
        <w:wordWrap/>
        <w:overflowPunct/>
        <w:topLinePunct w:val="0"/>
        <w:autoSpaceDE/>
        <w:autoSpaceDN/>
        <w:bidi w:val="0"/>
        <w:adjustRightInd/>
        <w:spacing w:line="520" w:lineRule="exact"/>
        <w:ind w:left="0" w:leftChars="0" w:right="0" w:rightChars="0" w:firstLine="639" w:firstLineChars="213"/>
        <w:jc w:val="both"/>
        <w:textAlignment w:val="auto"/>
        <w:outlineLvl w:val="9"/>
        <w:rPr>
          <w:rFonts w:hint="default" w:ascii="方正仿宋_GBK" w:hAnsi="仿宋_GB2312" w:eastAsia="方正仿宋_GBK"/>
          <w:sz w:val="32"/>
          <w:szCs w:val="32"/>
          <w:lang w:val="en-US"/>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p>
    <w:p>
      <w:pPr>
        <w:ind w:firstLine="640" w:firstLineChars="200"/>
        <w:rPr>
          <w:rFonts w:hint="eastAsia" w:ascii="方正仿宋_GBK" w:hAnsi="仿宋" w:eastAsia="方正仿宋_GBK" w:cs="仿宋"/>
          <w:sz w:val="32"/>
          <w:szCs w:val="32"/>
        </w:rPr>
      </w:pPr>
    </w:p>
    <w:p>
      <w:pPr>
        <w:ind w:firstLine="640" w:firstLineChars="200"/>
        <w:rPr>
          <w:rFonts w:hint="eastAsia" w:ascii="方正仿宋_GBK" w:hAnsi="仿宋" w:eastAsia="方正仿宋_GBK" w:cs="仿宋"/>
          <w:sz w:val="32"/>
          <w:szCs w:val="32"/>
        </w:rPr>
      </w:pPr>
    </w:p>
    <w:p>
      <w:pPr>
        <w:widowControl/>
        <w:jc w:val="left"/>
        <w:rPr>
          <w:rFonts w:ascii="方正仿宋_GBK" w:hAnsi="仿宋" w:eastAsia="方正仿宋_GBK" w:cs="仿宋"/>
          <w:sz w:val="32"/>
          <w:szCs w:val="32"/>
        </w:rPr>
      </w:pPr>
      <w:r>
        <w:rPr>
          <w:rFonts w:ascii="方正仿宋_GBK" w:hAnsi="仿宋" w:eastAsia="方正仿宋_GBK" w:cs="仿宋"/>
          <w:sz w:val="32"/>
          <w:szCs w:val="32"/>
        </w:rPr>
        <w:br w:type="page"/>
      </w:r>
    </w:p>
    <w:p>
      <w:pPr>
        <w:rPr>
          <w:rFonts w:hint="eastAsia" w:ascii="方正仿宋_GBK" w:hAnsi="仿宋" w:eastAsia="方正仿宋_GBK" w:cs="仿宋"/>
          <w:sz w:val="32"/>
          <w:szCs w:val="32"/>
        </w:rPr>
      </w:pPr>
      <w:r>
        <w:rPr>
          <w:rFonts w:hint="eastAsia" w:ascii="方正仿宋_GBK" w:hAnsi="仿宋" w:eastAsia="方正仿宋_GBK" w:cs="仿宋"/>
          <w:sz w:val="32"/>
          <w:szCs w:val="32"/>
        </w:rPr>
        <w:t>附件1</w:t>
      </w:r>
    </w:p>
    <w:p>
      <w:pPr>
        <w:jc w:val="center"/>
        <w:rPr>
          <w:rFonts w:hint="eastAsia" w:ascii="方正小标宋_GBK" w:hAnsi="黑体" w:eastAsia="方正小标宋_GBK" w:cs="黑体"/>
          <w:bCs/>
          <w:color w:val="000000"/>
          <w:kern w:val="0"/>
          <w:sz w:val="40"/>
          <w:szCs w:val="36"/>
        </w:rPr>
      </w:pPr>
      <w:r>
        <w:rPr>
          <w:rFonts w:hint="eastAsia" w:ascii="方正小标宋_GBK" w:hAnsi="黑体" w:eastAsia="方正小标宋_GBK" w:cs="黑体"/>
          <w:bCs/>
          <w:color w:val="000000"/>
          <w:kern w:val="0"/>
          <w:sz w:val="40"/>
          <w:szCs w:val="36"/>
        </w:rPr>
        <w:t>中乌咸海盐碱地植被建植技术联合</w:t>
      </w:r>
    </w:p>
    <w:p>
      <w:pPr>
        <w:jc w:val="center"/>
        <w:rPr>
          <w:rFonts w:hint="eastAsia" w:ascii="方正小标宋_GBK" w:hAnsi="黑体" w:eastAsia="方正小标宋_GBK" w:cs="黑体"/>
          <w:bCs/>
          <w:color w:val="000000"/>
          <w:kern w:val="0"/>
          <w:sz w:val="40"/>
          <w:szCs w:val="36"/>
        </w:rPr>
      </w:pPr>
      <w:r>
        <w:rPr>
          <w:rFonts w:hint="eastAsia" w:ascii="方正小标宋_GBK" w:hAnsi="黑体" w:eastAsia="方正小标宋_GBK" w:cs="黑体"/>
          <w:bCs/>
          <w:color w:val="000000"/>
          <w:kern w:val="0"/>
          <w:sz w:val="40"/>
          <w:szCs w:val="36"/>
        </w:rPr>
        <w:t>研究中心建设</w:t>
      </w:r>
    </w:p>
    <w:p>
      <w:pPr>
        <w:ind w:firstLine="640" w:firstLineChars="200"/>
        <w:rPr>
          <w:rFonts w:hint="eastAsia" w:ascii="方正仿宋_GBK" w:hAnsi="黑体" w:eastAsia="方正仿宋_GBK" w:cs="黑体"/>
          <w:bCs/>
          <w:sz w:val="32"/>
          <w:szCs w:val="32"/>
        </w:rPr>
      </w:pP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一、项目目标</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为推进绿色丝绸之路建设，针对世界广泛关注的咸海生态环境问题，根据乌兹别克斯坦咸海地区绿色发展需求，以咸海地区盐碱地植被建植为目标，与乌方合作建设“中乌咸海盐碱地植被建植技术联合研究中心”，具备耐盐植物种质资源收集、保存、筛选与评价，重度盐碱地植被建设技术研发、技术集成应用示范、技术培训推广等功能，为咸海干涸湖盆盐碱地植被建设提供科技支撑。</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二、项目任务</w:t>
      </w:r>
    </w:p>
    <w:p>
      <w:pPr>
        <w:ind w:firstLine="643" w:firstLineChars="200"/>
        <w:rPr>
          <w:rFonts w:hint="eastAsia" w:ascii="方正仿宋_GBK" w:hAnsi="仿宋" w:eastAsia="方正仿宋_GBK" w:cs="仿宋"/>
          <w:b/>
          <w:bCs/>
          <w:sz w:val="32"/>
          <w:szCs w:val="32"/>
        </w:rPr>
      </w:pPr>
      <w:r>
        <w:rPr>
          <w:rFonts w:hint="eastAsia" w:ascii="方正仿宋_GBK" w:hAnsi="仿宋" w:eastAsia="方正仿宋_GBK" w:cs="仿宋"/>
          <w:b/>
          <w:bCs/>
          <w:sz w:val="32"/>
          <w:szCs w:val="32"/>
        </w:rPr>
        <w:t>任务1.建设中乌耐盐植物种子耐盐性评价实验室。</w:t>
      </w:r>
    </w:p>
    <w:p>
      <w:pPr>
        <w:ind w:firstLine="643"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与乌兹别克斯坦相关机构合作建设耐盐植物种子耐盐性评价实验室，配备光照培养箱、恒温箱、体视镜等仪器设备。</w:t>
      </w:r>
    </w:p>
    <w:p>
      <w:pPr>
        <w:ind w:firstLine="643" w:firstLineChars="200"/>
        <w:rPr>
          <w:rFonts w:hint="eastAsia" w:ascii="方正仿宋_GBK" w:hAnsi="仿宋" w:eastAsia="方正仿宋_GBK" w:cs="仿宋"/>
          <w:b/>
          <w:bCs w:val="0"/>
          <w:sz w:val="32"/>
          <w:szCs w:val="32"/>
        </w:rPr>
      </w:pPr>
      <w:r>
        <w:rPr>
          <w:rFonts w:hint="eastAsia" w:ascii="方正仿宋_GBK" w:hAnsi="仿宋" w:eastAsia="方正仿宋_GBK" w:cs="仿宋"/>
          <w:b/>
          <w:bCs/>
          <w:sz w:val="32"/>
          <w:szCs w:val="32"/>
        </w:rPr>
        <w:t>任务2.</w:t>
      </w:r>
      <w:r>
        <w:rPr>
          <w:rFonts w:hint="eastAsia" w:ascii="方正仿宋_GBK" w:hAnsi="仿宋" w:eastAsia="方正仿宋_GBK" w:cs="仿宋"/>
          <w:b/>
          <w:bCs w:val="0"/>
          <w:sz w:val="32"/>
          <w:szCs w:val="32"/>
        </w:rPr>
        <w:t>建设咸海地区盐生植物种质资源圃。</w:t>
      </w:r>
    </w:p>
    <w:p>
      <w:pPr>
        <w:ind w:firstLine="643"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开展咸海地区盐生植物调查，收集相关种质资源，建设盐生植物种质资源圃，建成乌兹别克斯坦第一个盐生植物种质资源收集保存基地。</w:t>
      </w:r>
    </w:p>
    <w:p>
      <w:pPr>
        <w:ind w:firstLine="643" w:firstLineChars="200"/>
        <w:rPr>
          <w:rFonts w:hint="eastAsia" w:ascii="方正仿宋_GBK" w:hAnsi="仿宋" w:eastAsia="方正仿宋_GBK" w:cs="仿宋"/>
          <w:bCs/>
          <w:sz w:val="32"/>
          <w:szCs w:val="32"/>
        </w:rPr>
      </w:pPr>
      <w:r>
        <w:rPr>
          <w:rFonts w:hint="eastAsia" w:ascii="方正仿宋_GBK" w:hAnsi="仿宋" w:eastAsia="方正仿宋_GBK" w:cs="仿宋"/>
          <w:b/>
          <w:bCs/>
          <w:sz w:val="32"/>
          <w:szCs w:val="32"/>
        </w:rPr>
        <w:t>任务3.</w:t>
      </w:r>
      <w:r>
        <w:rPr>
          <w:rFonts w:hint="eastAsia" w:ascii="方正仿宋_GBK" w:hAnsi="仿宋" w:eastAsia="方正仿宋_GBK" w:cs="仿宋"/>
          <w:b/>
          <w:bCs w:val="0"/>
          <w:sz w:val="32"/>
          <w:szCs w:val="32"/>
        </w:rPr>
        <w:t>建设重度盐碱地植被建植技术研发与示范基地。</w:t>
      </w:r>
      <w:r>
        <w:rPr>
          <w:rFonts w:hint="eastAsia" w:ascii="方正仿宋_GBK" w:hAnsi="仿宋" w:eastAsia="方正仿宋_GBK" w:cs="仿宋"/>
          <w:bCs/>
          <w:sz w:val="32"/>
          <w:szCs w:val="32"/>
        </w:rPr>
        <w:t>开展重度盐碱地植被建植技术研究，构建技术模式，建成咸海干涸湖盆区重度盐碱地植被建植技术示范基地，开展相关技术培训与推广。</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三、考核指标</w:t>
      </w:r>
    </w:p>
    <w:p>
      <w:pPr>
        <w:ind w:firstLine="643" w:firstLineChars="200"/>
        <w:rPr>
          <w:rFonts w:hint="eastAsia" w:ascii="方正仿宋_GBK" w:hAnsi="仿宋" w:eastAsia="方正仿宋_GBK" w:cs="仿宋"/>
          <w:bCs/>
          <w:sz w:val="32"/>
          <w:szCs w:val="32"/>
        </w:rPr>
      </w:pPr>
      <w:r>
        <w:rPr>
          <w:rFonts w:hint="eastAsia" w:ascii="方正仿宋_GBK" w:hAnsi="仿宋" w:eastAsia="方正仿宋_GBK" w:cs="仿宋"/>
          <w:b/>
          <w:bCs/>
          <w:sz w:val="32"/>
          <w:szCs w:val="32"/>
        </w:rPr>
        <w:t>约束性指标</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1.建立耐盐植物种子评价实验室，面积不小于45平方米，配备仪器设备5台/套以上；</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2.在乌兹别克斯坦咸海地区建立30亩盐生植物种质资源圃，引种至少40种盐生植物或耐盐作物；</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3.筛选适宜咸海干涸湖盆区种植的盐生植物3～5种，形成建植技术2～3项，构建技术模式1套；</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4.建立20亩咸海干涸湖盆重度盐碱地植被建植技术示范基地，植被覆盖率30%以上。</w:t>
      </w:r>
    </w:p>
    <w:p>
      <w:pPr>
        <w:ind w:firstLine="643" w:firstLineChars="200"/>
        <w:rPr>
          <w:rFonts w:hint="eastAsia" w:ascii="方正仿宋_GBK" w:hAnsi="仿宋" w:eastAsia="方正仿宋_GBK" w:cs="仿宋"/>
          <w:bCs/>
          <w:sz w:val="32"/>
          <w:szCs w:val="32"/>
        </w:rPr>
      </w:pPr>
      <w:r>
        <w:rPr>
          <w:rFonts w:hint="eastAsia" w:ascii="方正仿宋_GBK" w:hAnsi="仿宋" w:eastAsia="方正仿宋_GBK" w:cs="仿宋"/>
          <w:b/>
          <w:bCs/>
          <w:sz w:val="32"/>
          <w:szCs w:val="32"/>
        </w:rPr>
        <w:t>预期性指标</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1.开展学术交流活动3～5次，组织现场观摩会1次，培训乌方人员50人次；</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2.制定技术规范1～2项；申请发明专利1～2项；发表论文2～4篇；</w:t>
      </w:r>
    </w:p>
    <w:p>
      <w:pPr>
        <w:ind w:firstLine="640" w:firstLineChars="200"/>
        <w:rPr>
          <w:rFonts w:hint="eastAsia" w:ascii="方正仿宋_GBK" w:hAnsi="仿宋" w:eastAsia="方正仿宋_GBK" w:cs="仿宋"/>
          <w:bCs/>
          <w:sz w:val="32"/>
          <w:szCs w:val="32"/>
        </w:rPr>
      </w:pPr>
      <w:r>
        <w:rPr>
          <w:rFonts w:hint="eastAsia" w:ascii="方正仿宋_GBK" w:hAnsi="仿宋" w:eastAsia="方正仿宋_GBK" w:cs="仿宋"/>
          <w:bCs/>
          <w:sz w:val="32"/>
          <w:szCs w:val="32"/>
        </w:rPr>
        <w:t>3.建立中乌咸海盐碱地植被建植技术联合研究中心长效运行机制。</w:t>
      </w:r>
    </w:p>
    <w:p>
      <w:pPr>
        <w:widowControl/>
        <w:jc w:val="left"/>
        <w:rPr>
          <w:rFonts w:ascii="方正仿宋_GBK" w:hAnsi="仿宋" w:eastAsia="方正仿宋_GBK" w:cs="仿宋"/>
          <w:bCs/>
          <w:sz w:val="32"/>
          <w:szCs w:val="32"/>
        </w:rPr>
      </w:pPr>
      <w:r>
        <w:rPr>
          <w:rFonts w:ascii="方正仿宋_GBK" w:hAnsi="仿宋" w:eastAsia="方正仿宋_GBK" w:cs="仿宋"/>
          <w:bCs/>
          <w:sz w:val="32"/>
          <w:szCs w:val="32"/>
        </w:rPr>
        <w:br w:type="page"/>
      </w:r>
    </w:p>
    <w:p>
      <w:pPr>
        <w:ind w:firstLine="640" w:firstLineChars="200"/>
        <w:jc w:val="center"/>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rPr>
        <w:t>申报指南编写组成员</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92"/>
        <w:gridCol w:w="481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1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序号</w:t>
            </w:r>
          </w:p>
        </w:tc>
        <w:tc>
          <w:tcPr>
            <w:tcW w:w="13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姓</w:t>
            </w:r>
            <w:r>
              <w:rPr>
                <w:rFonts w:hint="eastAsia" w:ascii="方正仿宋_GBK" w:hAnsi="方正仿宋_GBK" w:eastAsia="方正仿宋_GBK" w:cs="方正仿宋_GBK"/>
                <w:b/>
                <w:sz w:val="28"/>
                <w:szCs w:val="28"/>
                <w:lang w:val="en-US" w:eastAsia="zh-CN"/>
              </w:rPr>
              <w:t xml:space="preserve"> </w:t>
            </w:r>
            <w:r>
              <w:rPr>
                <w:rFonts w:hint="eastAsia" w:ascii="方正仿宋_GBK" w:hAnsi="方正仿宋_GBK" w:eastAsia="方正仿宋_GBK" w:cs="方正仿宋_GBK"/>
                <w:b/>
                <w:sz w:val="28"/>
                <w:szCs w:val="28"/>
              </w:rPr>
              <w:t>名</w:t>
            </w:r>
          </w:p>
        </w:tc>
        <w:tc>
          <w:tcPr>
            <w:tcW w:w="481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单</w:t>
            </w:r>
            <w:r>
              <w:rPr>
                <w:rFonts w:hint="eastAsia" w:ascii="方正仿宋_GBK" w:hAnsi="方正仿宋_GBK" w:eastAsia="方正仿宋_GBK" w:cs="方正仿宋_GBK"/>
                <w:b/>
                <w:sz w:val="28"/>
                <w:szCs w:val="28"/>
                <w:lang w:val="en-US" w:eastAsia="zh-CN"/>
              </w:rPr>
              <w:t xml:space="preserve"> </w:t>
            </w:r>
            <w:r>
              <w:rPr>
                <w:rFonts w:hint="eastAsia" w:ascii="方正仿宋_GBK" w:hAnsi="方正仿宋_GBK" w:eastAsia="方正仿宋_GBK" w:cs="方正仿宋_GBK"/>
                <w:b/>
                <w:sz w:val="28"/>
                <w:szCs w:val="28"/>
              </w:rPr>
              <w:t>位</w:t>
            </w:r>
          </w:p>
        </w:tc>
        <w:tc>
          <w:tcPr>
            <w:tcW w:w="150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1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1</w:t>
            </w:r>
          </w:p>
        </w:tc>
        <w:tc>
          <w:tcPr>
            <w:tcW w:w="13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雷加强</w:t>
            </w:r>
          </w:p>
        </w:tc>
        <w:tc>
          <w:tcPr>
            <w:tcW w:w="481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中国科学院新疆生态与地理研究所</w:t>
            </w:r>
          </w:p>
        </w:tc>
        <w:tc>
          <w:tcPr>
            <w:tcW w:w="150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1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2</w:t>
            </w:r>
          </w:p>
        </w:tc>
        <w:tc>
          <w:tcPr>
            <w:tcW w:w="13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吕光辉</w:t>
            </w:r>
          </w:p>
        </w:tc>
        <w:tc>
          <w:tcPr>
            <w:tcW w:w="481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新疆大学</w:t>
            </w:r>
          </w:p>
        </w:tc>
        <w:tc>
          <w:tcPr>
            <w:tcW w:w="150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1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3</w:t>
            </w:r>
          </w:p>
        </w:tc>
        <w:tc>
          <w:tcPr>
            <w:tcW w:w="13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蒋平安</w:t>
            </w:r>
          </w:p>
        </w:tc>
        <w:tc>
          <w:tcPr>
            <w:tcW w:w="481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新疆农业大学</w:t>
            </w:r>
          </w:p>
        </w:tc>
        <w:tc>
          <w:tcPr>
            <w:tcW w:w="150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1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4</w:t>
            </w:r>
          </w:p>
        </w:tc>
        <w:tc>
          <w:tcPr>
            <w:tcW w:w="13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张江辉</w:t>
            </w:r>
          </w:p>
        </w:tc>
        <w:tc>
          <w:tcPr>
            <w:tcW w:w="481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新疆水利水电研究院</w:t>
            </w:r>
          </w:p>
        </w:tc>
        <w:tc>
          <w:tcPr>
            <w:tcW w:w="150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sz w:val="28"/>
                <w:szCs w:val="28"/>
              </w:rPr>
              <w:t>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trPr>
        <w:tc>
          <w:tcPr>
            <w:tcW w:w="8522"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kern w:val="0"/>
                <w:sz w:val="28"/>
                <w:szCs w:val="28"/>
              </w:rPr>
              <w:t>注意：指南编写组专家不得参与或者申报项目</w:t>
            </w:r>
          </w:p>
        </w:tc>
      </w:tr>
    </w:tbl>
    <w:p>
      <w:pPr>
        <w:ind w:firstLine="640" w:firstLineChars="200"/>
        <w:rPr>
          <w:rFonts w:ascii="方正仿宋_GBK" w:eastAsia="方正仿宋_GBK"/>
          <w:sz w:val="32"/>
          <w:szCs w:val="32"/>
        </w:rPr>
      </w:pPr>
    </w:p>
    <w:p>
      <w:pPr>
        <w:widowControl/>
        <w:jc w:val="left"/>
        <w:rPr>
          <w:rFonts w:ascii="方正仿宋_GBK" w:eastAsia="方正仿宋_GBK"/>
          <w:sz w:val="32"/>
          <w:szCs w:val="32"/>
        </w:rPr>
      </w:pPr>
      <w:r>
        <w:rPr>
          <w:rFonts w:ascii="方正仿宋_GBK" w:eastAsia="方正仿宋_GBK"/>
          <w:sz w:val="32"/>
          <w:szCs w:val="32"/>
        </w:rPr>
        <w:br w:type="page"/>
      </w:r>
    </w:p>
    <w:p>
      <w:pPr>
        <w:rPr>
          <w:rFonts w:hint="eastAsia" w:ascii="方正仿宋_GBK" w:hAnsi="黑体" w:eastAsia="方正仿宋_GBK" w:cs="黑体"/>
          <w:bCs/>
          <w:sz w:val="32"/>
          <w:szCs w:val="32"/>
        </w:rPr>
      </w:pPr>
      <w:r>
        <w:rPr>
          <w:rFonts w:hint="eastAsia" w:ascii="方正仿宋_GBK" w:hAnsi="黑体" w:eastAsia="方正仿宋_GBK" w:cs="黑体"/>
          <w:bCs/>
          <w:sz w:val="32"/>
          <w:szCs w:val="32"/>
        </w:rPr>
        <w:t>附件2</w:t>
      </w:r>
    </w:p>
    <w:p>
      <w:pPr>
        <w:rPr>
          <w:rFonts w:hint="eastAsia" w:ascii="方正仿宋_GBK" w:hAnsi="黑体" w:eastAsia="方正仿宋_GBK" w:cs="黑体"/>
          <w:bCs/>
          <w:sz w:val="32"/>
          <w:szCs w:val="32"/>
        </w:rPr>
      </w:pPr>
    </w:p>
    <w:p>
      <w:pPr>
        <w:adjustRightInd w:val="0"/>
        <w:jc w:val="center"/>
        <w:rPr>
          <w:rFonts w:hint="eastAsia" w:ascii="方正小标宋_GBK" w:hAnsi="黑体" w:eastAsia="方正小标宋_GBK" w:cs="黑体"/>
          <w:bCs/>
          <w:kern w:val="0"/>
          <w:sz w:val="36"/>
          <w:szCs w:val="32"/>
        </w:rPr>
      </w:pPr>
      <w:r>
        <w:rPr>
          <w:rFonts w:hint="eastAsia" w:ascii="方正小标宋_GBK" w:hAnsi="黑体" w:eastAsia="方正小标宋_GBK" w:cs="黑体"/>
          <w:bCs/>
          <w:kern w:val="0"/>
          <w:sz w:val="36"/>
          <w:szCs w:val="32"/>
        </w:rPr>
        <w:t>中丹粘胶纤维废气催化氧化技术联合</w:t>
      </w:r>
    </w:p>
    <w:p>
      <w:pPr>
        <w:adjustRightInd w:val="0"/>
        <w:jc w:val="center"/>
        <w:rPr>
          <w:rFonts w:hint="eastAsia" w:ascii="方正小标宋_GBK" w:hAnsi="黑体" w:eastAsia="方正小标宋_GBK" w:cs="黑体"/>
          <w:bCs/>
          <w:kern w:val="0"/>
          <w:sz w:val="40"/>
          <w:szCs w:val="32"/>
        </w:rPr>
      </w:pPr>
      <w:r>
        <w:rPr>
          <w:rFonts w:hint="eastAsia" w:ascii="方正小标宋_GBK" w:hAnsi="黑体" w:eastAsia="方正小标宋_GBK" w:cs="黑体"/>
          <w:bCs/>
          <w:kern w:val="0"/>
          <w:sz w:val="36"/>
          <w:szCs w:val="32"/>
        </w:rPr>
        <w:t>研发及中试</w:t>
      </w:r>
    </w:p>
    <w:p>
      <w:pPr>
        <w:ind w:firstLine="640" w:firstLineChars="200"/>
        <w:rPr>
          <w:rFonts w:hint="eastAsia" w:ascii="黑体" w:hAnsi="黑体" w:eastAsia="黑体" w:cs="黑体"/>
          <w:bCs/>
          <w:sz w:val="32"/>
          <w:szCs w:val="32"/>
        </w:rPr>
      </w:pP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一、项目目标</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为解决国内粘胶纤维行业废气回收处理中NaOH消耗量过大、H</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S洗涤后废水处理困难、废气中H</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S氧化和CS</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回收等技术问题，与丹麦相关机构合作，筛选世界较先进、较高效的催化剂，联合开展粘胶纤维废气催化氧化技术联合研发及中试，开发具有自主知识产权的技术工艺包，形成国际领先的粘胶废气处理及资源化利用示范装置。</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二、项目任务</w:t>
      </w:r>
    </w:p>
    <w:p>
      <w:pPr>
        <w:ind w:firstLine="640" w:firstLineChars="200"/>
        <w:rPr>
          <w:rFonts w:hint="eastAsia" w:ascii="方正仿宋_GBK" w:hAnsi="仿宋" w:eastAsia="方正仿宋_GBK" w:cs="仿宋"/>
          <w:b/>
          <w:bCs/>
          <w:sz w:val="32"/>
          <w:szCs w:val="32"/>
        </w:rPr>
      </w:pPr>
      <w:r>
        <w:rPr>
          <w:rFonts w:hint="eastAsia" w:ascii="方正仿宋_GBK" w:hAnsi="仿宋" w:eastAsia="方正仿宋_GBK" w:cs="仿宋"/>
          <w:b/>
          <w:bCs/>
          <w:sz w:val="32"/>
          <w:szCs w:val="32"/>
        </w:rPr>
        <w:t>任务1.粘胶废气选择性催化氧化处理技术研发。</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联合丹麦高科技公司，筛选较先进的催化剂，开展粘胶废气处理小试，拟定工艺方案，确定优化工艺参数及催化剂性能评价指标。</w:t>
      </w:r>
    </w:p>
    <w:p>
      <w:pPr>
        <w:ind w:firstLine="640" w:firstLineChars="200"/>
        <w:rPr>
          <w:rFonts w:hint="eastAsia" w:ascii="方正仿宋_GBK" w:hAnsi="仿宋" w:eastAsia="方正仿宋_GBK" w:cs="仿宋"/>
          <w:b/>
          <w:bCs/>
          <w:sz w:val="32"/>
          <w:szCs w:val="32"/>
        </w:rPr>
      </w:pPr>
      <w:r>
        <w:rPr>
          <w:rFonts w:hint="eastAsia" w:ascii="方正仿宋_GBK" w:hAnsi="仿宋" w:eastAsia="方正仿宋_GBK" w:cs="仿宋"/>
          <w:b/>
          <w:bCs/>
          <w:sz w:val="32"/>
          <w:szCs w:val="32"/>
        </w:rPr>
        <w:t>任务2.粘胶废气选择性催化氧化处理技术中试。</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在国内建设中试装置，进一步优化调整工艺方案和工艺参数，考核装置运行的综合能耗和经济性。</w:t>
      </w:r>
    </w:p>
    <w:p>
      <w:pPr>
        <w:ind w:firstLine="640" w:firstLineChars="200"/>
        <w:rPr>
          <w:rFonts w:hint="eastAsia" w:ascii="方正仿宋_GBK" w:hAnsi="仿宋" w:eastAsia="方正仿宋_GBK" w:cs="仿宋"/>
          <w:b/>
          <w:bCs/>
          <w:sz w:val="32"/>
          <w:szCs w:val="32"/>
        </w:rPr>
      </w:pPr>
      <w:r>
        <w:rPr>
          <w:rFonts w:hint="eastAsia" w:ascii="方正仿宋_GBK" w:hAnsi="仿宋" w:eastAsia="方正仿宋_GBK" w:cs="仿宋"/>
          <w:b/>
          <w:bCs/>
          <w:sz w:val="32"/>
          <w:szCs w:val="32"/>
        </w:rPr>
        <w:t>任务3.形成具有自主知识产权的成套工艺包。</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整合全套的节能降耗、绿色清洁的粘胶废气处理工艺，形成拥有自主知识产权的节能、高效、环保的粘胶废气处理成套工艺包。</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三、考核指标</w:t>
      </w:r>
    </w:p>
    <w:p>
      <w:pPr>
        <w:ind w:firstLine="643" w:firstLineChars="200"/>
        <w:rPr>
          <w:rFonts w:hint="eastAsia" w:ascii="方正仿宋_GBK" w:hAnsi="仿宋" w:eastAsia="方正仿宋_GBK" w:cs="仿宋"/>
          <w:b/>
          <w:sz w:val="32"/>
          <w:szCs w:val="32"/>
        </w:rPr>
      </w:pPr>
      <w:r>
        <w:rPr>
          <w:rFonts w:hint="eastAsia" w:ascii="方正仿宋_GBK" w:hAnsi="仿宋" w:eastAsia="方正仿宋_GBK" w:cs="仿宋"/>
          <w:b/>
          <w:sz w:val="32"/>
          <w:szCs w:val="32"/>
        </w:rPr>
        <w:t>约束性指标</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1.催化剂性能指标：H</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S转化率≥95%，催化剂选择性≥90%，寿命不少于3年；建成处理能力为20000m</w:t>
      </w:r>
      <w:r>
        <w:rPr>
          <w:rFonts w:hint="eastAsia" w:ascii="方正仿宋_GBK" w:hAnsi="仿宋" w:eastAsia="方正仿宋_GBK" w:cs="仿宋"/>
          <w:sz w:val="32"/>
          <w:szCs w:val="32"/>
          <w:vertAlign w:val="superscript"/>
        </w:rPr>
        <w:t>3</w:t>
      </w:r>
      <w:r>
        <w:rPr>
          <w:rFonts w:hint="eastAsia" w:ascii="方正仿宋_GBK" w:hAnsi="仿宋" w:eastAsia="方正仿宋_GBK" w:cs="仿宋"/>
          <w:sz w:val="32"/>
          <w:szCs w:val="32"/>
        </w:rPr>
        <w:t>/h以上的废气催化氧化中试装置。</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2.处理后废气主要技术指标达到：H</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S＜30ppm,CS</w:t>
      </w:r>
      <w:r>
        <w:rPr>
          <w:rFonts w:hint="eastAsia" w:ascii="方正仿宋_GBK" w:hAnsi="仿宋" w:eastAsia="方正仿宋_GBK" w:cs="仿宋"/>
          <w:sz w:val="32"/>
          <w:szCs w:val="32"/>
          <w:vertAlign w:val="subscript"/>
        </w:rPr>
        <w:t>2</w:t>
      </w:r>
      <w:r>
        <w:rPr>
          <w:rFonts w:hint="eastAsia" w:ascii="方正仿宋_GBK" w:hAnsi="仿宋" w:eastAsia="方正仿宋_GBK" w:cs="仿宋"/>
          <w:sz w:val="32"/>
          <w:szCs w:val="32"/>
        </w:rPr>
        <w:t>损失率≤5%，硫单质＜5ppm。</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3.完成具有自主知识产权的粘胶废气选择性催化氧化技术工艺包。</w:t>
      </w:r>
    </w:p>
    <w:p>
      <w:pPr>
        <w:ind w:firstLine="643" w:firstLineChars="200"/>
        <w:rPr>
          <w:rFonts w:hint="eastAsia" w:ascii="方正仿宋_GBK" w:hAnsi="仿宋" w:eastAsia="方正仿宋_GBK" w:cs="仿宋"/>
          <w:b/>
          <w:sz w:val="32"/>
          <w:szCs w:val="32"/>
        </w:rPr>
      </w:pPr>
      <w:r>
        <w:rPr>
          <w:rFonts w:hint="eastAsia" w:ascii="方正仿宋_GBK" w:hAnsi="仿宋" w:eastAsia="方正仿宋_GBK" w:cs="仿宋"/>
          <w:b/>
          <w:sz w:val="32"/>
          <w:szCs w:val="32"/>
        </w:rPr>
        <w:t>预期性指标</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1.申请发明专利1～2件。</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2.培养粘胶纤维行业废气催化氧化工艺研发创新团队骨干5～10人。</w:t>
      </w:r>
    </w:p>
    <w:p>
      <w:pPr>
        <w:ind w:firstLine="640" w:firstLineChars="200"/>
        <w:rPr>
          <w:rFonts w:hint="eastAsia" w:ascii="方正仿宋_GBK" w:hAnsi="仿宋" w:eastAsia="方正仿宋_GBK" w:cs="仿宋"/>
          <w:sz w:val="32"/>
          <w:szCs w:val="32"/>
        </w:rPr>
      </w:pPr>
      <w:r>
        <w:rPr>
          <w:rFonts w:hint="eastAsia" w:ascii="方正仿宋_GBK" w:hAnsi="仿宋" w:eastAsia="方正仿宋_GBK" w:cs="仿宋"/>
          <w:sz w:val="32"/>
          <w:szCs w:val="32"/>
        </w:rPr>
        <w:t>3.与传统苛性钠法相比，废气处理运行成本降低30%～50%。</w:t>
      </w:r>
    </w:p>
    <w:p>
      <w:pPr>
        <w:widowControl/>
        <w:jc w:val="left"/>
        <w:rPr>
          <w:rFonts w:ascii="宋体" w:hAnsi="宋体" w:eastAsia="宋体" w:cs="宋体"/>
          <w:szCs w:val="21"/>
        </w:rPr>
      </w:pPr>
      <w:r>
        <w:rPr>
          <w:rFonts w:ascii="宋体" w:hAnsi="宋体" w:eastAsia="宋体" w:cs="宋体"/>
          <w:szCs w:val="21"/>
        </w:rPr>
        <w:br w:type="page"/>
      </w:r>
    </w:p>
    <w:p>
      <w:pPr>
        <w:rPr>
          <w:rFonts w:ascii="宋体" w:hAnsi="宋体" w:eastAsia="宋体" w:cs="宋体"/>
          <w:szCs w:val="21"/>
        </w:rPr>
      </w:pPr>
    </w:p>
    <w:p>
      <w:pPr>
        <w:jc w:val="center"/>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申报指南编写组成员</w:t>
      </w:r>
    </w:p>
    <w:tbl>
      <w:tblPr>
        <w:tblStyle w:val="5"/>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37"/>
        <w:gridCol w:w="5542"/>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9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序号</w:t>
            </w:r>
          </w:p>
        </w:tc>
        <w:tc>
          <w:tcPr>
            <w:tcW w:w="11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姓</w:t>
            </w:r>
            <w:r>
              <w:rPr>
                <w:rFonts w:hint="eastAsia" w:ascii="方正仿宋_GBK" w:hAnsi="方正仿宋_GBK" w:eastAsia="方正仿宋_GBK" w:cs="方正仿宋_GBK"/>
                <w:b/>
                <w:bCs/>
                <w:kern w:val="0"/>
                <w:sz w:val="28"/>
                <w:szCs w:val="28"/>
                <w:lang w:val="en-US" w:eastAsia="zh-CN"/>
              </w:rPr>
              <w:t xml:space="preserve"> </w:t>
            </w:r>
            <w:r>
              <w:rPr>
                <w:rFonts w:hint="eastAsia" w:ascii="方正仿宋_GBK" w:hAnsi="方正仿宋_GBK" w:eastAsia="方正仿宋_GBK" w:cs="方正仿宋_GBK"/>
                <w:b/>
                <w:bCs/>
                <w:kern w:val="0"/>
                <w:sz w:val="28"/>
                <w:szCs w:val="28"/>
              </w:rPr>
              <w:t>名</w:t>
            </w:r>
          </w:p>
        </w:tc>
        <w:tc>
          <w:tcPr>
            <w:tcW w:w="55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单</w:t>
            </w:r>
            <w:r>
              <w:rPr>
                <w:rFonts w:hint="eastAsia" w:ascii="方正仿宋_GBK" w:hAnsi="方正仿宋_GBK" w:eastAsia="方正仿宋_GBK" w:cs="方正仿宋_GBK"/>
                <w:b/>
                <w:bCs/>
                <w:kern w:val="0"/>
                <w:sz w:val="28"/>
                <w:szCs w:val="28"/>
                <w:lang w:val="en-US" w:eastAsia="zh-CN"/>
              </w:rPr>
              <w:t xml:space="preserve"> </w:t>
            </w:r>
            <w:r>
              <w:rPr>
                <w:rFonts w:hint="eastAsia" w:ascii="方正仿宋_GBK" w:hAnsi="方正仿宋_GBK" w:eastAsia="方正仿宋_GBK" w:cs="方正仿宋_GBK"/>
                <w:b/>
                <w:bCs/>
                <w:kern w:val="0"/>
                <w:sz w:val="28"/>
                <w:szCs w:val="28"/>
              </w:rPr>
              <w:t>位</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b/>
                <w:bCs/>
                <w:kern w:val="0"/>
                <w:sz w:val="28"/>
                <w:szCs w:val="28"/>
              </w:rPr>
            </w:pPr>
            <w:r>
              <w:rPr>
                <w:rFonts w:hint="eastAsia" w:ascii="方正仿宋_GBK" w:hAnsi="方正仿宋_GBK" w:eastAsia="方正仿宋_GBK" w:cs="方正仿宋_GBK"/>
                <w:b/>
                <w:bCs/>
                <w:kern w:val="0"/>
                <w:sz w:val="28"/>
                <w:szCs w:val="28"/>
              </w:rPr>
              <w:t>职称</w:t>
            </w:r>
            <w:r>
              <w:rPr>
                <w:rFonts w:hint="eastAsia" w:ascii="方正仿宋_GBK" w:hAnsi="方正仿宋_GBK" w:eastAsia="方正仿宋_GBK" w:cs="方正仿宋_GBK"/>
                <w:b/>
                <w:bCs/>
                <w:kern w:val="0"/>
                <w:sz w:val="28"/>
                <w:szCs w:val="28"/>
                <w:lang w:val="en-US" w:eastAsia="zh-CN"/>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9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w:t>
            </w:r>
          </w:p>
        </w:tc>
        <w:tc>
          <w:tcPr>
            <w:tcW w:w="11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靳  健</w:t>
            </w:r>
          </w:p>
        </w:tc>
        <w:tc>
          <w:tcPr>
            <w:tcW w:w="55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中国科学院苏州纳米技术与纳米仿生研究所</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9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w:t>
            </w:r>
          </w:p>
        </w:tc>
        <w:tc>
          <w:tcPr>
            <w:tcW w:w="11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张亚刚</w:t>
            </w:r>
          </w:p>
        </w:tc>
        <w:tc>
          <w:tcPr>
            <w:tcW w:w="55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中国科学院新疆理化技术研究所</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9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3</w:t>
            </w:r>
          </w:p>
        </w:tc>
        <w:tc>
          <w:tcPr>
            <w:tcW w:w="11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魏  博</w:t>
            </w:r>
          </w:p>
        </w:tc>
        <w:tc>
          <w:tcPr>
            <w:tcW w:w="55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新疆大学</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 w:hRule="atLeast"/>
          <w:jc w:val="center"/>
        </w:trPr>
        <w:tc>
          <w:tcPr>
            <w:tcW w:w="9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w:t>
            </w:r>
          </w:p>
        </w:tc>
        <w:tc>
          <w:tcPr>
            <w:tcW w:w="113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宋东日</w:t>
            </w:r>
          </w:p>
        </w:tc>
        <w:tc>
          <w:tcPr>
            <w:tcW w:w="55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新疆化工设计研究院</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9075"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方正仿宋_GBK" w:hAnsi="方正仿宋_GBK" w:eastAsia="方正仿宋_GBK" w:cs="方正仿宋_GBK"/>
                <w:kern w:val="0"/>
                <w:sz w:val="28"/>
                <w:szCs w:val="28"/>
                <w:lang w:eastAsia="zh-CN"/>
              </w:rPr>
            </w:pPr>
            <w:r>
              <w:rPr>
                <w:rFonts w:hint="eastAsia" w:ascii="方正仿宋_GBK" w:hAnsi="方正仿宋_GBK" w:eastAsia="方正仿宋_GBK" w:cs="方正仿宋_GBK"/>
                <w:kern w:val="0"/>
                <w:sz w:val="28"/>
                <w:szCs w:val="28"/>
              </w:rPr>
              <w:t>注意：指南编写组专家不得参与或者申报项目</w:t>
            </w:r>
          </w:p>
        </w:tc>
      </w:tr>
    </w:tbl>
    <w:p>
      <w:pPr>
        <w:rPr>
          <w:rFonts w:ascii="宋体" w:hAnsi="宋体" w:eastAsia="宋体" w:cs="宋体"/>
          <w:szCs w:val="21"/>
        </w:rPr>
      </w:pPr>
    </w:p>
    <w:p>
      <w:pPr>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黑体_GBK">
    <w:panose1 w:val="03000509000000000000"/>
    <w:charset w:val="86"/>
    <w:family w:val="script"/>
    <w:pitch w:val="default"/>
    <w:sig w:usb0="00000001" w:usb1="080E0000" w:usb2="00000000" w:usb3="00000000" w:csb0="00040000" w:csb1="00000000"/>
  </w:font>
  <w:font w:name="Arial">
    <w:panose1 w:val="020B0604020202020204"/>
    <w:charset w:val="00"/>
    <w:family w:val="modern"/>
    <w:pitch w:val="default"/>
    <w:sig w:usb0="E0002AFF" w:usb1="C0007843" w:usb2="00000009" w:usb3="00000000" w:csb0="400001FF" w:csb1="FFFF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script"/>
    <w:pitch w:val="default"/>
    <w:sig w:usb0="80000287" w:usb1="280F3C52" w:usb2="00000016" w:usb3="00000000" w:csb0="0004001F" w:csb1="00000000"/>
  </w:font>
  <w:font w:name="创艺简行楷">
    <w:altName w:val="宋体"/>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0"/>
    <w:family w:val="roman"/>
    <w:pitch w:val="default"/>
    <w:sig w:usb0="E0002A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宋体-18030">
    <w:altName w:val="宋体"/>
    <w:panose1 w:val="02010609060101010101"/>
    <w:charset w:val="86"/>
    <w:family w:val="decorative"/>
    <w:pitch w:val="default"/>
    <w:sig w:usb0="00000000" w:usb1="00000000" w:usb2="000A005E" w:usb3="00000000" w:csb0="00040001" w:csb1="00000000"/>
  </w:font>
  <w:font w:name="宋体-18030">
    <w:altName w:val="宋体"/>
    <w:panose1 w:val="02010609060101010101"/>
    <w:charset w:val="86"/>
    <w:family w:val="roman"/>
    <w:pitch w:val="default"/>
    <w:sig w:usb0="00000000" w:usb1="00000000" w:usb2="000A005E" w:usb3="00000000" w:csb0="00040001" w:csb1="00000000"/>
  </w:font>
  <w:font w:name="宋体-18030">
    <w:altName w:val="宋体"/>
    <w:panose1 w:val="02010609060101010101"/>
    <w:charset w:val="86"/>
    <w:family w:val="modern"/>
    <w:pitch w:val="default"/>
    <w:sig w:usb0="00000000" w:usb1="00000000" w:usb2="000A005E" w:usb3="00000000" w:csb0="00040001" w:csb1="00000000"/>
  </w:font>
  <w:font w:name="宋体-18030">
    <w:altName w:val="宋体"/>
    <w:panose1 w:val="02010609060101010101"/>
    <w:charset w:val="86"/>
    <w:family w:val="swiss"/>
    <w:pitch w:val="default"/>
    <w:sig w:usb0="00000000" w:usb1="00000000" w:usb2="000A005E" w:usb3="00000000" w:csb0="00040001" w:csb1="00000000"/>
  </w:font>
  <w:font w:name="华文仿宋">
    <w:panose1 w:val="02010600040101010101"/>
    <w:charset w:val="86"/>
    <w:family w:val="auto"/>
    <w:pitch w:val="default"/>
    <w:sig w:usb0="00000287" w:usb1="080F0000" w:usb2="00000000" w:usb3="00000000" w:csb0="0004009F" w:csb1="DFD7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1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微软雅黑"/>
    <w:panose1 w:val="00000000000000000000"/>
    <w:charset w:val="86"/>
    <w:family w:val="modern"/>
    <w:pitch w:val="default"/>
    <w:sig w:usb0="00000000" w:usb1="00000000"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modern"/>
    <w:pitch w:val="default"/>
    <w:sig w:usb0="80000287" w:usb1="280F3C52" w:usb2="00000016" w:usb3="00000000" w:csb0="0004001F"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Microsoft YaHei UI">
    <w:altName w:val="微软雅黑"/>
    <w:panose1 w:val="00000000000000000000"/>
    <w:charset w:val="86"/>
    <w:family w:val="decorative"/>
    <w:pitch w:val="default"/>
    <w:sig w:usb0="00000000" w:usb1="00000000"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Microsoft YaHei UI">
    <w:altName w:val="微软雅黑"/>
    <w:panose1 w:val="00000000000000000000"/>
    <w:charset w:val="86"/>
    <w:family w:val="roman"/>
    <w:pitch w:val="default"/>
    <w:sig w:usb0="00000000" w:usb1="00000000" w:usb2="00000016" w:usb3="00000000" w:csb0="0004001F" w:csb1="00000000"/>
  </w:font>
  <w:font w:name="微软雅黑">
    <w:panose1 w:val="020B0503020204020204"/>
    <w:charset w:val="86"/>
    <w:family w:val="roman"/>
    <w:pitch w:val="default"/>
    <w:sig w:usb0="80000287" w:usb1="280F3C52" w:usb2="00000016" w:usb3="00000000" w:csb0="0004001F" w:csb1="00000000"/>
  </w:font>
  <w:font w:name="Calibri Light">
    <w:altName w:val="Calibri"/>
    <w:panose1 w:val="020F0302020204030204"/>
    <w:charset w:val="00"/>
    <w:family w:val="roman"/>
    <w:pitch w:val="default"/>
    <w:sig w:usb0="00000000" w:usb1="00000000" w:usb2="00000000" w:usb3="00000000" w:csb0="2000019F" w:csb1="00000000"/>
  </w:font>
  <w:font w:name="Calibri Light">
    <w:altName w:val="Calibri"/>
    <w:panose1 w:val="020F0302020204030204"/>
    <w:charset w:val="00"/>
    <w:family w:val="modern"/>
    <w:pitch w:val="default"/>
    <w:sig w:usb0="00000000" w:usb1="00000000" w:usb2="0000000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54556"/>
    <w:rsid w:val="00135234"/>
    <w:rsid w:val="001B4B80"/>
    <w:rsid w:val="00783323"/>
    <w:rsid w:val="008249A4"/>
    <w:rsid w:val="00AA4F23"/>
    <w:rsid w:val="00B761A1"/>
    <w:rsid w:val="00EC33E7"/>
    <w:rsid w:val="00EF1231"/>
    <w:rsid w:val="04356F0F"/>
    <w:rsid w:val="0A8C054D"/>
    <w:rsid w:val="0AAC0A11"/>
    <w:rsid w:val="0E355A5F"/>
    <w:rsid w:val="11D54556"/>
    <w:rsid w:val="14627B69"/>
    <w:rsid w:val="18266B2E"/>
    <w:rsid w:val="1F5B31BE"/>
    <w:rsid w:val="21A72E2B"/>
    <w:rsid w:val="23EE6B85"/>
    <w:rsid w:val="2C1D3E2C"/>
    <w:rsid w:val="323D43E4"/>
    <w:rsid w:val="361B2BC1"/>
    <w:rsid w:val="3D110CD0"/>
    <w:rsid w:val="40A94DA3"/>
    <w:rsid w:val="4AD96975"/>
    <w:rsid w:val="575E4ED0"/>
    <w:rsid w:val="588D1584"/>
    <w:rsid w:val="5B0B26C8"/>
    <w:rsid w:val="5E7875DF"/>
    <w:rsid w:val="5FC36835"/>
    <w:rsid w:val="606E61B2"/>
    <w:rsid w:val="62BE62AF"/>
    <w:rsid w:val="6A281BC2"/>
    <w:rsid w:val="769A5C48"/>
    <w:rsid w:val="775F7974"/>
    <w:rsid w:val="7FE916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99"/>
    <w:pPr>
      <w:ind w:firstLine="420" w:firstLineChars="200"/>
    </w:pPr>
    <w:rPr>
      <w:rFonts w:ascii="Calibri" w:hAnsi="Calibri" w:cs="Calibri"/>
      <w:szCs w:val="21"/>
    </w:rPr>
  </w:style>
  <w:style w:type="paragraph" w:customStyle="1" w:styleId="8">
    <w:name w:val="x_msonormal"/>
    <w:basedOn w:val="1"/>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414</Words>
  <Characters>2366</Characters>
  <Lines>19</Lines>
  <Paragraphs>5</Paragraphs>
  <ScaleCrop>false</ScaleCrop>
  <LinksUpToDate>false</LinksUpToDate>
  <CharactersWithSpaces>2775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2019-08-28T08:20:00Z</dcterms:created>
  <dc:creator>wangfei</dc:creator>
  <cp:lastModifiedBy>xzj</cp:lastModifiedBy>
  <cp:lastPrinted>2019-10-11T15:18:00Z</cp:lastPrinted>
  <dcterms:modified xsi:type="dcterms:W3CDTF">2019-12-06T02:50:53Z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