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心脑血管疾病健康管理模式和</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方正小标宋_GBK" w:hAnsi="方正小标宋_GBK" w:eastAsia="方正小标宋_GBK" w:cs="方正小标宋_GBK"/>
          <w:b w:val="0"/>
          <w:bCs w:val="0"/>
          <w:sz w:val="44"/>
          <w:szCs w:val="44"/>
        </w:rPr>
      </w:pPr>
      <w:bookmarkStart w:id="0" w:name="_GoBack"/>
      <w:bookmarkEnd w:id="0"/>
      <w:r>
        <w:rPr>
          <w:rFonts w:hint="eastAsia" w:ascii="方正小标宋_GBK" w:hAnsi="方正小标宋_GBK" w:eastAsia="方正小标宋_GBK" w:cs="方正小标宋_GBK"/>
          <w:b w:val="0"/>
          <w:bCs w:val="0"/>
          <w:sz w:val="44"/>
          <w:szCs w:val="44"/>
        </w:rPr>
        <w:t>防控策略研究申报指南</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640" w:firstLineChars="200"/>
        <w:jc w:val="both"/>
        <w:textAlignment w:val="auto"/>
        <w:outlineLvl w:val="9"/>
        <w:rPr>
          <w:rFonts w:hint="eastAsia" w:ascii="黑体" w:hAnsi="黑体" w:eastAsia="黑体" w:cs="黑体"/>
          <w:b w:val="0"/>
          <w:bCs/>
          <w:sz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黑体" w:hAnsi="黑体" w:eastAsia="黑体" w:cs="黑体"/>
          <w:b w:val="0"/>
          <w:bCs/>
          <w:sz w:val="32"/>
        </w:rPr>
      </w:pPr>
      <w:r>
        <w:rPr>
          <w:rFonts w:hint="eastAsia" w:ascii="黑体" w:hAnsi="黑体" w:eastAsia="黑体" w:cs="黑体"/>
          <w:b w:val="0"/>
          <w:bCs/>
          <w:sz w:val="32"/>
        </w:rPr>
        <w:t>一、项目目标</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本专项聚焦新疆重大及高发慢性心脑血管病，突出解决心脑血管病防控中的瓶颈问题，重点突破心脑血管病防治的关键技术，搭建“心脑共管、心脑同治”研究公共平台，建立健全的心脑重大慢病研究体系和创新网络，为加快心脑血管病防控技术突破、控制医疗费用增长、促进技术合理规范应用、降低医疗和社会负担、遏制心脑血管病发病率、死亡率居高不下的局面提供积极有效的科技支撑。</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黑体" w:hAnsi="黑体" w:eastAsia="黑体" w:cs="黑体"/>
          <w:b w:val="0"/>
          <w:bCs/>
          <w:sz w:val="32"/>
        </w:rPr>
      </w:pPr>
      <w:r>
        <w:rPr>
          <w:rFonts w:hint="eastAsia" w:ascii="黑体" w:hAnsi="黑体" w:eastAsia="黑体" w:cs="黑体"/>
          <w:b w:val="0"/>
          <w:bCs/>
          <w:sz w:val="32"/>
        </w:rPr>
        <w:t>二、项目任务</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b/>
          <w:bCs w:val="0"/>
          <w:sz w:val="30"/>
          <w:szCs w:val="30"/>
        </w:rPr>
      </w:pPr>
      <w:r>
        <w:rPr>
          <w:rFonts w:hint="eastAsia" w:ascii="方正仿宋_GBK" w:hAnsi="方正仿宋_GBK" w:eastAsia="方正仿宋_GBK" w:cs="方正仿宋_GBK"/>
          <w:b/>
          <w:bCs w:val="0"/>
          <w:sz w:val="30"/>
          <w:szCs w:val="30"/>
        </w:rPr>
        <w:t>任务1.基于互联网管理平台构建心脑血管病防控网络和救治体系</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利用互联网建立心脑血管病的临床医学研究平台、大数据共享平台、慢病自我管理平台，风险预警体系、救治网络体系和临床决策支持体系，初步建立了心脑血管疾病的临床大数据、知识库、临床决策支持体系，为把新疆心脑血管疾病研究推向更高层次，将研究成果及时推向基层奠定基础。</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b/>
          <w:bCs w:val="0"/>
          <w:sz w:val="30"/>
          <w:szCs w:val="30"/>
        </w:rPr>
      </w:pPr>
      <w:r>
        <w:rPr>
          <w:rFonts w:hint="eastAsia" w:ascii="方正仿宋_GBK" w:hAnsi="方正仿宋_GBK" w:eastAsia="方正仿宋_GBK" w:cs="方正仿宋_GBK"/>
          <w:b/>
          <w:bCs w:val="0"/>
          <w:sz w:val="30"/>
          <w:szCs w:val="30"/>
        </w:rPr>
        <w:t>任务2.基于医疗联合体和智能穿戴设备建立心脑同管共治的标准化防治管理模式</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建立可穿戴智能设备的心脑共管同治的新型管理模式示范区，通过现代医学与信息技术相结合的技术手段，研究基于可穿戴智能设备等监测、新型干预技术的健康管理模式，系统评价现有心脑血管病高危人群及患者的管理模式，评估不同疾病管理模式的效果、成本—经济效益及适用条件，开发基于医疗联合体的适宜新疆地区、不同人群和不同患病阶段新的心脑血管病标准化防治管理模式。</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b/>
          <w:bCs w:val="0"/>
          <w:sz w:val="30"/>
          <w:szCs w:val="30"/>
        </w:rPr>
      </w:pPr>
      <w:r>
        <w:rPr>
          <w:rFonts w:hint="eastAsia" w:ascii="方正仿宋_GBK" w:hAnsi="方正仿宋_GBK" w:eastAsia="方正仿宋_GBK" w:cs="方正仿宋_GBK"/>
          <w:b/>
          <w:bCs w:val="0"/>
          <w:sz w:val="30"/>
          <w:szCs w:val="30"/>
        </w:rPr>
        <w:t>任务3.阐明心脑血管疾病临床表型中关键分子群的机制和调控网络</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从整体和动态的角度，寻找在临床表型中发挥关键作用的重要分子群，确定与心脑血管病相关的重要分子结构和功能，阐释关键分子群的信号转导机制和调控网络，为基于分子机制的疾病预防、诊断和治疗新途径提供靶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黑体" w:hAnsi="黑体" w:eastAsia="黑体" w:cs="黑体"/>
          <w:b w:val="0"/>
          <w:bCs/>
          <w:sz w:val="32"/>
        </w:rPr>
      </w:pPr>
      <w:r>
        <w:rPr>
          <w:rFonts w:hint="eastAsia" w:ascii="黑体" w:hAnsi="黑体" w:eastAsia="黑体" w:cs="黑体"/>
          <w:b w:val="0"/>
          <w:bCs/>
          <w:sz w:val="32"/>
        </w:rPr>
        <w:t>三、考核指标</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b/>
          <w:bCs/>
          <w:sz w:val="32"/>
        </w:rPr>
      </w:pPr>
      <w:r>
        <w:rPr>
          <w:rFonts w:hint="eastAsia" w:ascii="方正仿宋_GBK" w:hAnsi="方正仿宋_GBK" w:eastAsia="方正仿宋_GBK" w:cs="方正仿宋_GBK"/>
          <w:b/>
          <w:bCs/>
          <w:sz w:val="32"/>
        </w:rPr>
        <w:t>约束性指标：</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（1）在国内外专业期刊发表高质量的学术论文不少于8篇（其中SCI论文至少5篇）；申请发明专利2-5项；注册临床研究1-2项。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（2）人群脑卒中和冠心病的规范管理率相对提高至少20%，心脑血管疾病发病率相对降低至少10%。</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b/>
          <w:bCs/>
          <w:sz w:val="32"/>
        </w:rPr>
      </w:pPr>
      <w:r>
        <w:rPr>
          <w:rFonts w:hint="eastAsia" w:ascii="方正仿宋_GBK" w:hAnsi="方正仿宋_GBK" w:eastAsia="方正仿宋_GBK" w:cs="方正仿宋_GBK"/>
          <w:b/>
          <w:bCs/>
          <w:sz w:val="32"/>
        </w:rPr>
        <w:t>预期性目标：</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（1）搭建心脑同治研究公共平台和防控技术成果转化平台，建立心脑重大慢病研究体系和创新网络，探索建立适宜新疆地区、不同人群、不同健康阶段的心脑血管疾病健康管理模式。</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（2）探索建立“开放、集成、高效”的具有新疆特色的心脑血管病社区联动合作体系，形成一定规模的创新团队和专业人才队伍，有效提高创新能力，实现人才、学科、科研与转化的深度融合。</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黑体" w:hAnsi="黑体" w:eastAsia="黑体" w:cs="黑体"/>
          <w:b w:val="0"/>
          <w:bCs/>
          <w:sz w:val="32"/>
        </w:rPr>
      </w:pPr>
      <w:r>
        <w:rPr>
          <w:rFonts w:hint="eastAsia" w:ascii="黑体" w:hAnsi="黑体" w:eastAsia="黑体" w:cs="黑体"/>
          <w:b w:val="0"/>
          <w:bCs/>
          <w:sz w:val="32"/>
        </w:rPr>
        <w:t>四、项目申报要求</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Times New Roman" w:hAnsi="Times New Roman" w:cs="Times New Roman"/>
          <w:sz w:val="32"/>
        </w:rPr>
      </w:pPr>
      <w:r>
        <w:rPr>
          <w:rFonts w:hint="eastAsia" w:ascii="方正仿宋_GBK" w:hAnsi="方正仿宋_GBK" w:eastAsia="方正仿宋_GBK" w:cs="方正仿宋_GBK"/>
          <w:sz w:val="32"/>
        </w:rPr>
        <w:t>需以心脑血管疾病防治医疗机构牵头申报，鼓励医防联合申报</w:t>
      </w:r>
      <w:r>
        <w:rPr>
          <w:rFonts w:hint="eastAsia" w:ascii="Times New Roman" w:hAnsi="Times New Roman" w:cs="Times New Roman"/>
          <w:sz w:val="32"/>
        </w:rPr>
        <w:t>。</w:t>
      </w:r>
    </w:p>
    <w:p>
      <w:pPr>
        <w:spacing w:line="480" w:lineRule="auto"/>
        <w:jc w:val="center"/>
        <w:rPr>
          <w:rFonts w:hint="eastAsia" w:ascii="方正仿宋_GBK" w:hAnsi="方正仿宋_GBK" w:eastAsia="方正仿宋_GBK" w:cs="方正仿宋_GBK"/>
          <w:b/>
          <w:sz w:val="32"/>
        </w:rPr>
      </w:pPr>
      <w:r>
        <w:rPr>
          <w:rFonts w:hint="eastAsia" w:ascii="Times New Roman" w:hAnsi="Times New Roman" w:cs="Times New Roman"/>
          <w:sz w:val="32"/>
        </w:rPr>
        <w:br w:type="page"/>
      </w:r>
      <w:r>
        <w:rPr>
          <w:rFonts w:hint="eastAsia" w:ascii="方正仿宋_GBK" w:hAnsi="方正仿宋_GBK" w:eastAsia="方正仿宋_GBK" w:cs="方正仿宋_GBK"/>
          <w:b/>
          <w:bCs/>
          <w:kern w:val="0"/>
          <w:sz w:val="32"/>
          <w:szCs w:val="28"/>
        </w:rPr>
        <w:t>申报指南编写组成员</w:t>
      </w:r>
    </w:p>
    <w:tbl>
      <w:tblPr>
        <w:tblStyle w:val="5"/>
        <w:tblW w:w="88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1365"/>
        <w:gridCol w:w="4078"/>
        <w:gridCol w:w="2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8" w:type="dxa"/>
            <w:vAlign w:val="top"/>
          </w:tcPr>
          <w:p>
            <w:pPr>
              <w:spacing w:line="400" w:lineRule="exact"/>
              <w:jc w:val="center"/>
              <w:rPr>
                <w:rFonts w:hint="eastAsia" w:ascii="方正仿宋_GBK" w:hAnsi="方正仿宋_GBK" w:eastAsia="方正仿宋_GBK" w:cs="方正仿宋_GBK"/>
                <w:b/>
                <w:bCs/>
                <w:kern w:val="0"/>
                <w:sz w:val="28"/>
                <w:szCs w:val="28"/>
              </w:rPr>
            </w:pPr>
            <w:r>
              <w:rPr>
                <w:rFonts w:hint="eastAsia" w:ascii="方正仿宋_GBK" w:hAnsi="方正仿宋_GBK" w:eastAsia="方正仿宋_GBK" w:cs="方正仿宋_GBK"/>
                <w:b/>
                <w:bCs/>
                <w:kern w:val="0"/>
                <w:sz w:val="28"/>
                <w:szCs w:val="28"/>
              </w:rPr>
              <w:t>序号</w:t>
            </w:r>
          </w:p>
        </w:tc>
        <w:tc>
          <w:tcPr>
            <w:tcW w:w="1365" w:type="dxa"/>
            <w:vAlign w:val="top"/>
          </w:tcPr>
          <w:p>
            <w:pPr>
              <w:spacing w:line="400" w:lineRule="exact"/>
              <w:jc w:val="center"/>
              <w:rPr>
                <w:rFonts w:hint="eastAsia" w:ascii="方正仿宋_GBK" w:hAnsi="方正仿宋_GBK" w:eastAsia="方正仿宋_GBK" w:cs="方正仿宋_GBK"/>
                <w:b/>
                <w:bCs/>
                <w:kern w:val="0"/>
                <w:sz w:val="28"/>
                <w:szCs w:val="28"/>
              </w:rPr>
            </w:pPr>
            <w:r>
              <w:rPr>
                <w:rFonts w:hint="eastAsia" w:ascii="方正仿宋_GBK" w:hAnsi="方正仿宋_GBK" w:eastAsia="方正仿宋_GBK" w:cs="方正仿宋_GBK"/>
                <w:b/>
                <w:bCs/>
                <w:kern w:val="0"/>
                <w:sz w:val="28"/>
                <w:szCs w:val="28"/>
              </w:rPr>
              <w:t>姓  名</w:t>
            </w:r>
          </w:p>
        </w:tc>
        <w:tc>
          <w:tcPr>
            <w:tcW w:w="4078" w:type="dxa"/>
            <w:vAlign w:val="top"/>
          </w:tcPr>
          <w:p>
            <w:pPr>
              <w:spacing w:line="400" w:lineRule="exact"/>
              <w:jc w:val="center"/>
              <w:rPr>
                <w:rFonts w:hint="eastAsia" w:ascii="方正仿宋_GBK" w:hAnsi="方正仿宋_GBK" w:eastAsia="方正仿宋_GBK" w:cs="方正仿宋_GBK"/>
                <w:b/>
                <w:bCs/>
                <w:kern w:val="0"/>
                <w:sz w:val="28"/>
                <w:szCs w:val="28"/>
              </w:rPr>
            </w:pPr>
            <w:r>
              <w:rPr>
                <w:rFonts w:hint="eastAsia" w:ascii="方正仿宋_GBK" w:hAnsi="方正仿宋_GBK" w:eastAsia="方正仿宋_GBK" w:cs="方正仿宋_GBK"/>
                <w:b/>
                <w:bCs/>
                <w:kern w:val="0"/>
                <w:sz w:val="28"/>
                <w:szCs w:val="28"/>
              </w:rPr>
              <w:t>单</w:t>
            </w:r>
            <w:r>
              <w:rPr>
                <w:rFonts w:hint="eastAsia" w:ascii="方正仿宋_GBK" w:hAnsi="方正仿宋_GBK" w:eastAsia="方正仿宋_GBK" w:cs="方正仿宋_GBK"/>
                <w:b/>
                <w:bCs/>
                <w:kern w:val="0"/>
                <w:sz w:val="28"/>
                <w:szCs w:val="28"/>
                <w:lang w:val="en-US" w:eastAsia="zh-CN"/>
              </w:rPr>
              <w:t xml:space="preserve"> </w:t>
            </w:r>
            <w:r>
              <w:rPr>
                <w:rFonts w:hint="eastAsia" w:ascii="方正仿宋_GBK" w:hAnsi="方正仿宋_GBK" w:eastAsia="方正仿宋_GBK" w:cs="方正仿宋_GBK"/>
                <w:b/>
                <w:bCs/>
                <w:kern w:val="0"/>
                <w:sz w:val="28"/>
                <w:szCs w:val="28"/>
              </w:rPr>
              <w:t>位</w:t>
            </w:r>
          </w:p>
        </w:tc>
        <w:tc>
          <w:tcPr>
            <w:tcW w:w="2432" w:type="dxa"/>
            <w:vAlign w:val="top"/>
          </w:tcPr>
          <w:p>
            <w:pPr>
              <w:spacing w:line="400" w:lineRule="exact"/>
              <w:jc w:val="center"/>
              <w:rPr>
                <w:rFonts w:hint="eastAsia" w:ascii="方正仿宋_GBK" w:hAnsi="方正仿宋_GBK" w:eastAsia="方正仿宋_GBK" w:cs="方正仿宋_GBK"/>
                <w:b/>
                <w:bCs/>
                <w:kern w:val="0"/>
                <w:sz w:val="28"/>
                <w:szCs w:val="28"/>
              </w:rPr>
            </w:pPr>
            <w:r>
              <w:rPr>
                <w:rFonts w:hint="eastAsia" w:ascii="方正仿宋_GBK" w:hAnsi="方正仿宋_GBK" w:eastAsia="方正仿宋_GBK" w:cs="方正仿宋_GBK"/>
                <w:b/>
                <w:bCs/>
                <w:sz w:val="28"/>
                <w:szCs w:val="28"/>
              </w:rPr>
              <w:t>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8" w:type="dxa"/>
            <w:vAlign w:val="top"/>
          </w:tcPr>
          <w:p>
            <w:pPr>
              <w:spacing w:line="400" w:lineRule="exact"/>
              <w:jc w:val="center"/>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w:t>
            </w:r>
          </w:p>
        </w:tc>
        <w:tc>
          <w:tcPr>
            <w:tcW w:w="1365" w:type="dxa"/>
            <w:vAlign w:val="top"/>
          </w:tcPr>
          <w:p>
            <w:pPr>
              <w:spacing w:line="400" w:lineRule="exact"/>
              <w:jc w:val="center"/>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李晓梅</w:t>
            </w:r>
          </w:p>
        </w:tc>
        <w:tc>
          <w:tcPr>
            <w:tcW w:w="4078" w:type="dxa"/>
            <w:vAlign w:val="top"/>
          </w:tcPr>
          <w:p>
            <w:pPr>
              <w:spacing w:line="400" w:lineRule="exact"/>
              <w:jc w:val="center"/>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新疆医科大学第一附属医院</w:t>
            </w:r>
          </w:p>
        </w:tc>
        <w:tc>
          <w:tcPr>
            <w:tcW w:w="2432" w:type="dxa"/>
            <w:vAlign w:val="top"/>
          </w:tcPr>
          <w:p>
            <w:pPr>
              <w:spacing w:line="400" w:lineRule="exact"/>
              <w:jc w:val="center"/>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主任医师/教授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8" w:type="dxa"/>
            <w:textDirection w:val="lrTb"/>
            <w:vAlign w:val="top"/>
          </w:tcPr>
          <w:p>
            <w:pPr>
              <w:spacing w:line="400" w:lineRule="exact"/>
              <w:jc w:val="center"/>
              <w:rPr>
                <w:rFonts w:hint="eastAsia" w:ascii="方正仿宋_GBK" w:hAnsi="方正仿宋_GBK" w:eastAsia="方正仿宋_GBK" w:cs="方正仿宋_GBK"/>
                <w:kern w:val="0"/>
                <w:sz w:val="28"/>
                <w:szCs w:val="28"/>
                <w:lang w:eastAsia="zh-CN"/>
              </w:rPr>
            </w:pPr>
            <w:r>
              <w:rPr>
                <w:rFonts w:hint="eastAsia" w:ascii="方正仿宋_GBK" w:hAnsi="方正仿宋_GBK" w:eastAsia="方正仿宋_GBK" w:cs="方正仿宋_GBK"/>
                <w:kern w:val="0"/>
                <w:sz w:val="28"/>
                <w:szCs w:val="28"/>
                <w:lang w:val="en-US" w:eastAsia="zh-CN"/>
              </w:rPr>
              <w:t>2</w:t>
            </w:r>
          </w:p>
        </w:tc>
        <w:tc>
          <w:tcPr>
            <w:tcW w:w="1365" w:type="dxa"/>
            <w:textDirection w:val="lrTb"/>
            <w:vAlign w:val="top"/>
          </w:tcPr>
          <w:p>
            <w:pPr>
              <w:spacing w:line="400" w:lineRule="exact"/>
              <w:jc w:val="center"/>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卜  军</w:t>
            </w:r>
          </w:p>
        </w:tc>
        <w:tc>
          <w:tcPr>
            <w:tcW w:w="4078" w:type="dxa"/>
            <w:textDirection w:val="lrTb"/>
            <w:vAlign w:val="top"/>
          </w:tcPr>
          <w:p>
            <w:pPr>
              <w:spacing w:line="400" w:lineRule="exact"/>
              <w:jc w:val="center"/>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上海交通大学仁济医院</w:t>
            </w:r>
          </w:p>
        </w:tc>
        <w:tc>
          <w:tcPr>
            <w:tcW w:w="2432" w:type="dxa"/>
            <w:textDirection w:val="lrTb"/>
            <w:vAlign w:val="top"/>
          </w:tcPr>
          <w:p>
            <w:pPr>
              <w:spacing w:line="400" w:lineRule="exact"/>
              <w:jc w:val="center"/>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主任医师/教授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8" w:type="dxa"/>
            <w:textDirection w:val="lrTb"/>
            <w:vAlign w:val="top"/>
          </w:tcPr>
          <w:p>
            <w:pPr>
              <w:spacing w:line="400" w:lineRule="exact"/>
              <w:jc w:val="center"/>
              <w:rPr>
                <w:rFonts w:hint="eastAsia" w:ascii="方正仿宋_GBK" w:hAnsi="方正仿宋_GBK" w:eastAsia="方正仿宋_GBK" w:cs="方正仿宋_GBK"/>
                <w:kern w:val="0"/>
                <w:sz w:val="28"/>
                <w:szCs w:val="28"/>
                <w:lang w:val="en-US" w:eastAsia="zh-CN"/>
              </w:rPr>
            </w:pPr>
            <w:r>
              <w:rPr>
                <w:rFonts w:hint="eastAsia" w:ascii="方正仿宋_GBK" w:hAnsi="方正仿宋_GBK" w:eastAsia="方正仿宋_GBK" w:cs="方正仿宋_GBK"/>
                <w:kern w:val="0"/>
                <w:sz w:val="28"/>
                <w:szCs w:val="28"/>
                <w:lang w:val="en-US" w:eastAsia="zh-CN"/>
              </w:rPr>
              <w:t>3</w:t>
            </w:r>
          </w:p>
        </w:tc>
        <w:tc>
          <w:tcPr>
            <w:tcW w:w="1365" w:type="dxa"/>
            <w:textDirection w:val="lrTb"/>
            <w:vAlign w:val="top"/>
          </w:tcPr>
          <w:p>
            <w:pPr>
              <w:spacing w:line="400" w:lineRule="exact"/>
              <w:jc w:val="center"/>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谢  翔</w:t>
            </w:r>
          </w:p>
        </w:tc>
        <w:tc>
          <w:tcPr>
            <w:tcW w:w="4078" w:type="dxa"/>
            <w:textDirection w:val="lrTb"/>
            <w:vAlign w:val="top"/>
          </w:tcPr>
          <w:p>
            <w:pPr>
              <w:spacing w:line="400" w:lineRule="exact"/>
              <w:jc w:val="center"/>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新疆医科大学第一附属医院</w:t>
            </w:r>
          </w:p>
        </w:tc>
        <w:tc>
          <w:tcPr>
            <w:tcW w:w="2432" w:type="dxa"/>
            <w:textDirection w:val="lrTb"/>
            <w:vAlign w:val="top"/>
          </w:tcPr>
          <w:p>
            <w:pPr>
              <w:spacing w:line="400" w:lineRule="exact"/>
              <w:jc w:val="center"/>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主任医师/教授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8" w:type="dxa"/>
            <w:textDirection w:val="lrTb"/>
            <w:vAlign w:val="top"/>
          </w:tcPr>
          <w:p>
            <w:pPr>
              <w:spacing w:line="400" w:lineRule="exact"/>
              <w:jc w:val="center"/>
              <w:rPr>
                <w:rFonts w:hint="eastAsia" w:ascii="方正仿宋_GBK" w:hAnsi="方正仿宋_GBK" w:eastAsia="方正仿宋_GBK" w:cs="方正仿宋_GBK"/>
                <w:kern w:val="0"/>
                <w:sz w:val="28"/>
                <w:szCs w:val="28"/>
                <w:lang w:eastAsia="zh-CN"/>
              </w:rPr>
            </w:pPr>
            <w:r>
              <w:rPr>
                <w:rFonts w:hint="eastAsia" w:ascii="方正仿宋_GBK" w:hAnsi="方正仿宋_GBK" w:eastAsia="方正仿宋_GBK" w:cs="方正仿宋_GBK"/>
                <w:kern w:val="0"/>
                <w:sz w:val="28"/>
                <w:szCs w:val="28"/>
                <w:lang w:val="en-US" w:eastAsia="zh-CN"/>
              </w:rPr>
              <w:t>4</w:t>
            </w:r>
          </w:p>
        </w:tc>
        <w:tc>
          <w:tcPr>
            <w:tcW w:w="1365" w:type="dxa"/>
            <w:textDirection w:val="lrTb"/>
            <w:vAlign w:val="top"/>
          </w:tcPr>
          <w:p>
            <w:pPr>
              <w:spacing w:line="400" w:lineRule="exact"/>
              <w:jc w:val="center"/>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莫大鹏</w:t>
            </w:r>
          </w:p>
        </w:tc>
        <w:tc>
          <w:tcPr>
            <w:tcW w:w="4078" w:type="dxa"/>
            <w:textDirection w:val="lrTb"/>
            <w:vAlign w:val="top"/>
          </w:tcPr>
          <w:p>
            <w:pPr>
              <w:spacing w:line="400" w:lineRule="exact"/>
              <w:jc w:val="center"/>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北京天坛医院</w:t>
            </w:r>
          </w:p>
        </w:tc>
        <w:tc>
          <w:tcPr>
            <w:tcW w:w="2432" w:type="dxa"/>
            <w:textDirection w:val="lrTb"/>
            <w:vAlign w:val="top"/>
          </w:tcPr>
          <w:p>
            <w:pPr>
              <w:spacing w:line="400" w:lineRule="exact"/>
              <w:jc w:val="center"/>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主任医师/教授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8" w:type="dxa"/>
            <w:textDirection w:val="lrTb"/>
            <w:vAlign w:val="top"/>
          </w:tcPr>
          <w:p>
            <w:pPr>
              <w:spacing w:line="400" w:lineRule="exact"/>
              <w:jc w:val="center"/>
              <w:rPr>
                <w:rFonts w:hint="eastAsia" w:ascii="方正仿宋_GBK" w:hAnsi="方正仿宋_GBK" w:eastAsia="方正仿宋_GBK" w:cs="方正仿宋_GBK"/>
                <w:kern w:val="0"/>
                <w:sz w:val="28"/>
                <w:szCs w:val="28"/>
                <w:lang w:eastAsia="zh-CN"/>
              </w:rPr>
            </w:pPr>
            <w:r>
              <w:rPr>
                <w:rFonts w:hint="eastAsia" w:ascii="方正仿宋_GBK" w:hAnsi="方正仿宋_GBK" w:eastAsia="方正仿宋_GBK" w:cs="方正仿宋_GBK"/>
                <w:kern w:val="0"/>
                <w:sz w:val="28"/>
                <w:szCs w:val="28"/>
                <w:lang w:val="en-US" w:eastAsia="zh-CN"/>
              </w:rPr>
              <w:t>5</w:t>
            </w:r>
          </w:p>
        </w:tc>
        <w:tc>
          <w:tcPr>
            <w:tcW w:w="1365" w:type="dxa"/>
            <w:textDirection w:val="lrTb"/>
            <w:vAlign w:val="top"/>
          </w:tcPr>
          <w:p>
            <w:pPr>
              <w:spacing w:line="400" w:lineRule="exact"/>
              <w:jc w:val="center"/>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高晓明</w:t>
            </w:r>
          </w:p>
        </w:tc>
        <w:tc>
          <w:tcPr>
            <w:tcW w:w="4078" w:type="dxa"/>
            <w:textDirection w:val="lrTb"/>
            <w:vAlign w:val="top"/>
          </w:tcPr>
          <w:p>
            <w:pPr>
              <w:spacing w:line="400" w:lineRule="exact"/>
              <w:jc w:val="center"/>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新疆医科大学第一附属医院</w:t>
            </w:r>
          </w:p>
        </w:tc>
        <w:tc>
          <w:tcPr>
            <w:tcW w:w="2432" w:type="dxa"/>
            <w:textDirection w:val="lrTb"/>
            <w:vAlign w:val="top"/>
          </w:tcPr>
          <w:p>
            <w:pPr>
              <w:spacing w:line="400" w:lineRule="exact"/>
              <w:jc w:val="center"/>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教授（特聘）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23" w:type="dxa"/>
            <w:gridSpan w:val="4"/>
            <w:vAlign w:val="top"/>
          </w:tcPr>
          <w:p>
            <w:pPr>
              <w:spacing w:line="400" w:lineRule="exact"/>
              <w:jc w:val="center"/>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注意：指南编写组专家不得参与或者申报项目</w:t>
            </w:r>
          </w:p>
        </w:tc>
      </w:tr>
    </w:tbl>
    <w:p>
      <w:pPr>
        <w:spacing w:line="480" w:lineRule="auto"/>
        <w:jc w:val="center"/>
        <w:rPr>
          <w:rFonts w:ascii="Times New Roman" w:hAnsi="Times New Roman" w:cs="Times New Roman"/>
          <w:b/>
          <w:sz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黑体">
    <w:panose1 w:val="02010609060101010101"/>
    <w:charset w:val="86"/>
    <w:family w:val="roma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黑体">
    <w:panose1 w:val="02010609060101010101"/>
    <w:charset w:val="86"/>
    <w:family w:val="modern"/>
    <w:pitch w:val="default"/>
    <w:sig w:usb0="800002BF" w:usb1="38CF7CFA" w:usb2="00000016" w:usb3="00000000" w:csb0="00040001" w:csb1="00000000"/>
  </w:font>
  <w:font w:name="黑体">
    <w:panose1 w:val="02010609060101010101"/>
    <w:charset w:val="86"/>
    <w:family w:val="swiss"/>
    <w:pitch w:val="default"/>
    <w:sig w:usb0="800002BF" w:usb1="38CF7CFA" w:usb2="00000016" w:usb3="00000000" w:csb0="00040001" w:csb1="00000000"/>
  </w:font>
  <w:font w:name="黑体">
    <w:panose1 w:val="02010609060101010101"/>
    <w:charset w:val="86"/>
    <w:family w:val="decorative"/>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等线">
    <w:altName w:val="宋体"/>
    <w:panose1 w:val="02010600030101010101"/>
    <w:charset w:val="86"/>
    <w:family w:val="auto"/>
    <w:pitch w:val="default"/>
    <w:sig w:usb0="00000000" w:usb1="00000000"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swiss"/>
    <w:pitch w:val="default"/>
    <w:sig w:usb0="00000001" w:usb1="080E0000" w:usb2="00000000" w:usb3="00000000" w:csb0="00040000" w:csb1="00000000"/>
  </w:font>
  <w:font w:name="楷体">
    <w:panose1 w:val="02010609060101010101"/>
    <w:charset w:val="86"/>
    <w:family w:val="swiss"/>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YaHei UI">
    <w:altName w:val="微软雅黑"/>
    <w:panose1 w:val="00000000000000000000"/>
    <w:charset w:val="86"/>
    <w:family w:val="modern"/>
    <w:pitch w:val="default"/>
    <w:sig w:usb0="00000000" w:usb1="00000000" w:usb2="00000016" w:usb3="00000000" w:csb0="0004001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modern"/>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roman"/>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icrosoft YaHei UI">
    <w:altName w:val="微软雅黑"/>
    <w:panose1 w:val="00000000000000000000"/>
    <w:charset w:val="86"/>
    <w:family w:val="swiss"/>
    <w:pitch w:val="default"/>
    <w:sig w:usb0="00000000" w:usb1="00000000" w:usb2="00000016" w:usb3="00000000" w:csb0="0004001F" w:csb1="00000000"/>
  </w:font>
  <w:font w:name="微软雅黑">
    <w:panose1 w:val="020B0503020204020204"/>
    <w:charset w:val="86"/>
    <w:family w:val="swiss"/>
    <w:pitch w:val="default"/>
    <w:sig w:usb0="80000287" w:usb1="280F3C52" w:usb2="00000016" w:usb3="00000000" w:csb0="0004001F" w:csb1="00000000"/>
  </w:font>
  <w:font w:name="Microsoft YaHei UI">
    <w:altName w:val="微软雅黑"/>
    <w:panose1 w:val="00000000000000000000"/>
    <w:charset w:val="86"/>
    <w:family w:val="decorative"/>
    <w:pitch w:val="default"/>
    <w:sig w:usb0="00000000" w:usb1="00000000" w:usb2="00000016" w:usb3="00000000" w:csb0="0004001F" w:csb1="00000000"/>
  </w:font>
  <w:font w:name="微软雅黑">
    <w:panose1 w:val="020B0503020204020204"/>
    <w:charset w:val="86"/>
    <w:family w:val="decorative"/>
    <w:pitch w:val="default"/>
    <w:sig w:usb0="80000287" w:usb1="280F3C52" w:usb2="00000016" w:usb3="00000000" w:csb0="0004001F" w:csb1="00000000"/>
  </w:font>
  <w:font w:name="仿宋_GB2312">
    <w:panose1 w:val="02010609030101010101"/>
    <w:charset w:val="86"/>
    <w:family w:val="decorative"/>
    <w:pitch w:val="default"/>
    <w:sig w:usb0="00000001" w:usb1="080E0000" w:usb2="00000000" w:usb3="00000000" w:csb0="00040000" w:csb1="00000000"/>
  </w:font>
  <w:font w:name="Microsoft YaHei UI">
    <w:altName w:val="微软雅黑"/>
    <w:panose1 w:val="00000000000000000000"/>
    <w:charset w:val="86"/>
    <w:family w:val="roman"/>
    <w:pitch w:val="default"/>
    <w:sig w:usb0="00000000" w:usb1="00000000" w:usb2="00000016" w:usb3="00000000" w:csb0="0004001F" w:csb1="00000000"/>
  </w:font>
  <w:font w:name="微软雅黑">
    <w:panose1 w:val="020B0503020204020204"/>
    <w:charset w:val="86"/>
    <w:family w:val="roman"/>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Calibri Light">
    <w:altName w:val="Calibri"/>
    <w:panose1 w:val="020F0302020204030204"/>
    <w:charset w:val="00"/>
    <w:family w:val="roman"/>
    <w:pitch w:val="default"/>
    <w:sig w:usb0="00000000" w:usb1="00000000" w:usb2="00000009" w:usb3="00000000" w:csb0="000001FF" w:csb1="00000000"/>
  </w:font>
  <w:font w:name="Calibri Light">
    <w:altName w:val="Calibri"/>
    <w:panose1 w:val="020F0302020204030204"/>
    <w:charset w:val="00"/>
    <w:family w:val="modern"/>
    <w:pitch w:val="default"/>
    <w:sig w:usb0="00000000" w:usb1="00000000" w:usb2="00000009" w:usb3="00000000" w:csb0="000001FF" w:csb1="00000000"/>
  </w:font>
  <w:font w:name="Calibri Light">
    <w:altName w:val="Calibri"/>
    <w:panose1 w:val="020F0302020204030204"/>
    <w:charset w:val="00"/>
    <w:family w:val="swiss"/>
    <w:pitch w:val="default"/>
    <w:sig w:usb0="00000000" w:usb1="00000000" w:usb2="00000009" w:usb3="00000000" w:csb0="000001FF" w:csb1="00000000"/>
  </w:font>
  <w:font w:name="Calibri Light">
    <w:altName w:val="Calibri"/>
    <w:panose1 w:val="020F0302020204030204"/>
    <w:charset w:val="00"/>
    <w:family w:val="decorative"/>
    <w:pitch w:val="default"/>
    <w:sig w:usb0="00000000" w:usb1="00000000" w:usb2="00000009" w:usb3="00000000" w:csb0="000001FF" w:csb1="00000000"/>
  </w:font>
  <w:font w:name="等线">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decorative"/>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AF6AE8"/>
    <w:rsid w:val="00F64901"/>
    <w:rsid w:val="00FB38BC"/>
    <w:rsid w:val="00FB7EC5"/>
    <w:rsid w:val="12506189"/>
    <w:rsid w:val="2C640C74"/>
    <w:rsid w:val="435A1B6F"/>
    <w:rsid w:val="71171A5C"/>
  </w:rsid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uiPriority w:val="0"/>
  </w:style>
  <w:style w:type="table" w:default="1" w:styleId="5">
    <w:name w:val="Normal Table"/>
    <w:unhideWhenUsed/>
    <w:uiPriority w:val="99"/>
    <w:tblPr>
      <w:tblLayout w:type="fixed"/>
      <w:tblCellMar>
        <w:top w:w="0" w:type="dxa"/>
        <w:left w:w="108" w:type="dxa"/>
        <w:bottom w:w="0" w:type="dxa"/>
        <w:right w:w="108" w:type="dxa"/>
      </w:tblCellMar>
    </w:tblPr>
    <w:tcPr>
      <w:textDirection w:val="lrTb"/>
    </w:tc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link w:val="3"/>
    <w:qFormat/>
    <w:uiPriority w:val="0"/>
    <w:rPr>
      <w:sz w:val="18"/>
      <w:szCs w:val="18"/>
    </w:rPr>
  </w:style>
  <w:style w:type="character" w:customStyle="1" w:styleId="7">
    <w:name w:val="页脚 字符"/>
    <w:link w:val="2"/>
    <w:qFormat/>
    <w:uiPriority w:val="0"/>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185</Words>
  <Characters>1058</Characters>
  <Lines>8</Lines>
  <Paragraphs>2</Paragraphs>
  <ScaleCrop>false</ScaleCrop>
  <LinksUpToDate>false</LinksUpToDate>
  <CharactersWithSpaces>1241</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2019-10-25T10:00:00Z</dcterms:created>
  <dc:creator>ljy</dc:creator>
  <cp:lastModifiedBy>xzj</cp:lastModifiedBy>
  <dcterms:modified xsi:type="dcterms:W3CDTF">2019-12-06T03:01:03Z</dcterms:modified>
  <dc:title>2020年度自治区重点研发任务专项项目申报指南建议</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