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napToGrid w:val="0"/>
        <w:spacing w:line="600" w:lineRule="exact"/>
        <w:jc w:val="center"/>
        <w:rPr>
          <w:rFonts w:hint="eastAsia" w:ascii="方正小标宋_GBK" w:hAnsi="方正小标宋_GBK" w:eastAsia="方正小标宋_GBK" w:cs="方正小标宋_GBK"/>
          <w:b w:val="0"/>
          <w:bCs w:val="0"/>
          <w:sz w:val="44"/>
          <w:szCs w:val="44"/>
        </w:rPr>
      </w:pPr>
      <w:r>
        <w:rPr>
          <w:rFonts w:hint="eastAsia" w:ascii="方正小标宋_GBK" w:hAnsi="方正小标宋_GBK" w:eastAsia="方正小标宋_GBK" w:cs="方正小标宋_GBK"/>
          <w:b w:val="0"/>
          <w:bCs w:val="0"/>
          <w:sz w:val="44"/>
          <w:szCs w:val="44"/>
          <w:lang w:eastAsia="zh-CN"/>
        </w:rPr>
        <w:t>南</w:t>
      </w:r>
      <w:r>
        <w:rPr>
          <w:rFonts w:hint="eastAsia" w:ascii="方正小标宋_GBK" w:hAnsi="方正小标宋_GBK" w:eastAsia="方正小标宋_GBK" w:cs="方正小标宋_GBK"/>
          <w:b w:val="0"/>
          <w:bCs w:val="0"/>
          <w:sz w:val="44"/>
          <w:szCs w:val="44"/>
        </w:rPr>
        <w:t>疆驴产业关键技术集成与示范</w:t>
      </w:r>
      <w:r>
        <w:rPr>
          <w:rFonts w:hint="eastAsia" w:ascii="方正小标宋_GBK" w:hAnsi="方正小标宋_GBK" w:eastAsia="方正小标宋_GBK" w:cs="方正小标宋_GBK"/>
          <w:sz w:val="44"/>
          <w:szCs w:val="44"/>
        </w:rPr>
        <w:t>申报指南</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黑体" w:hAnsi="黑体" w:eastAsia="黑体" w:cs="黑体"/>
          <w:bCs/>
          <w:kern w:val="0"/>
          <w:sz w:val="32"/>
          <w:szCs w:val="32"/>
        </w:rPr>
      </w:pP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bCs/>
          <w:kern w:val="0"/>
          <w:sz w:val="32"/>
          <w:szCs w:val="32"/>
        </w:rPr>
      </w:pPr>
      <w:r>
        <w:rPr>
          <w:rFonts w:hint="eastAsia" w:ascii="黑体" w:hAnsi="黑体" w:eastAsia="黑体" w:cs="黑体"/>
          <w:bCs/>
          <w:kern w:val="0"/>
          <w:sz w:val="32"/>
          <w:szCs w:val="32"/>
        </w:rPr>
        <w:t>一、项目目标</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以提质增效、促进农民脱贫增收为目标，研发、集成和示范一批适应于</w:t>
      </w:r>
      <w:r>
        <w:rPr>
          <w:rFonts w:hint="eastAsia" w:ascii="方正仿宋_GBK" w:hAnsi="方正仿宋_GBK" w:eastAsia="方正仿宋_GBK" w:cs="方正仿宋_GBK"/>
          <w:sz w:val="32"/>
          <w:szCs w:val="32"/>
          <w:lang w:eastAsia="zh-CN"/>
        </w:rPr>
        <w:t>南</w:t>
      </w:r>
      <w:r>
        <w:rPr>
          <w:rFonts w:hint="eastAsia" w:ascii="方正仿宋_GBK" w:hAnsi="方正仿宋_GBK" w:eastAsia="方正仿宋_GBK" w:cs="方正仿宋_GBK"/>
          <w:sz w:val="32"/>
          <w:szCs w:val="32"/>
        </w:rPr>
        <w:t>疆区域驴产业各个环节的关键技术,显著提高驴的繁殖率、产奶率、产肉率和产皮率。研究和示范全株玉米青贮资源化利用及不同区域标准化养殖、疫病防控、高效繁殖技术，降低养殖成本和提高养殖效益；建立标准化规模养殖场，发展养殖大户，推动驴由散养向适度规模养殖转变形成区域规模优势，提高产业集聚度。开发以驴奶为基材的特殊医药用途配方食品、加快推进</w:t>
      </w:r>
      <w:r>
        <w:rPr>
          <w:rFonts w:hint="eastAsia" w:ascii="方正仿宋_GBK" w:hAnsi="方正仿宋_GBK" w:eastAsia="方正仿宋_GBK" w:cs="方正仿宋_GBK"/>
          <w:sz w:val="32"/>
          <w:szCs w:val="32"/>
          <w:lang w:eastAsia="zh-CN"/>
        </w:rPr>
        <w:t>南</w:t>
      </w:r>
      <w:r>
        <w:rPr>
          <w:rFonts w:hint="eastAsia" w:ascii="方正仿宋_GBK" w:hAnsi="方正仿宋_GBK" w:eastAsia="方正仿宋_GBK" w:cs="方正仿宋_GBK"/>
          <w:sz w:val="32"/>
          <w:szCs w:val="32"/>
        </w:rPr>
        <w:t>疆驴奶、阿胶、驴肉产品品牌知名度，充分发挥龙头企业带动、专业合作社连接、品牌提升增效作用，创新商品驴产业发展模式，不断提高产业化程度。</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bCs/>
          <w:kern w:val="0"/>
          <w:sz w:val="32"/>
          <w:szCs w:val="32"/>
        </w:rPr>
      </w:pPr>
      <w:r>
        <w:rPr>
          <w:rFonts w:hint="eastAsia" w:ascii="黑体" w:hAnsi="黑体" w:eastAsia="黑体" w:cs="黑体"/>
          <w:bCs/>
          <w:kern w:val="0"/>
          <w:sz w:val="32"/>
          <w:szCs w:val="32"/>
        </w:rPr>
        <w:t>二、项目任务</w:t>
      </w:r>
      <w:bookmarkStart w:id="0" w:name="_Hlk21514054"/>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方正仿宋_GBK" w:hAnsi="方正仿宋_GBK" w:eastAsia="方正仿宋_GBK" w:cs="方正仿宋_GBK"/>
          <w:b/>
          <w:bCs w:val="0"/>
          <w:kern w:val="0"/>
          <w:sz w:val="32"/>
          <w:szCs w:val="32"/>
        </w:rPr>
      </w:pPr>
      <w:r>
        <w:rPr>
          <w:rFonts w:hint="eastAsia" w:ascii="方正仿宋_GBK" w:hAnsi="方正仿宋_GBK" w:eastAsia="方正仿宋_GBK" w:cs="方正仿宋_GBK"/>
          <w:b/>
          <w:bCs w:val="0"/>
          <w:kern w:val="0"/>
          <w:sz w:val="32"/>
          <w:szCs w:val="32"/>
        </w:rPr>
        <w:t>任务1.乳肉兼用驴新品系培育及全基因组选择技术构建</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围绕产业发展和市场需求，依托新疆驴、和田青驴、疆岳驴（品牌）群体定向选育乳肉兼用驴新品系；开展品种登记、体型评定、生产性能测定等育种基础性工作，选择组建育种群和核心群；订制700K和50KSNP芯片，构建驴全基因组选择体系，筛选与生产性状、产乳量、乳蛋白含量、肉品质相关的候选基因或分子标记。</w:t>
      </w:r>
      <w:bookmarkEnd w:id="0"/>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方正仿宋_GBK" w:hAnsi="方正仿宋_GBK" w:eastAsia="方正仿宋_GBK" w:cs="方正仿宋_GBK"/>
          <w:b/>
          <w:bCs w:val="0"/>
          <w:kern w:val="0"/>
          <w:sz w:val="32"/>
          <w:szCs w:val="32"/>
        </w:rPr>
      </w:pPr>
      <w:r>
        <w:rPr>
          <w:rFonts w:hint="eastAsia" w:ascii="方正仿宋_GBK" w:hAnsi="方正仿宋_GBK" w:eastAsia="方正仿宋_GBK" w:cs="方正仿宋_GBK"/>
          <w:b/>
          <w:bCs w:val="0"/>
          <w:kern w:val="0"/>
          <w:sz w:val="32"/>
          <w:szCs w:val="32"/>
        </w:rPr>
        <w:t>任务2</w:t>
      </w:r>
      <w:r>
        <w:rPr>
          <w:rFonts w:hint="eastAsia" w:ascii="方正仿宋_GBK" w:hAnsi="方正仿宋_GBK" w:eastAsia="方正仿宋_GBK" w:cs="方正仿宋_GBK"/>
          <w:b/>
          <w:bCs w:val="0"/>
          <w:kern w:val="0"/>
          <w:sz w:val="32"/>
          <w:szCs w:val="32"/>
          <w:lang w:val="en-US" w:eastAsia="zh-CN"/>
        </w:rPr>
        <w:t>.</w:t>
      </w:r>
      <w:r>
        <w:rPr>
          <w:rFonts w:hint="eastAsia" w:ascii="方正仿宋_GBK" w:hAnsi="方正仿宋_GBK" w:eastAsia="方正仿宋_GBK" w:cs="方正仿宋_GBK"/>
          <w:b/>
          <w:bCs w:val="0"/>
          <w:kern w:val="0"/>
          <w:sz w:val="32"/>
          <w:szCs w:val="32"/>
        </w:rPr>
        <w:t>驴高效繁殖技术体系研究</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研究驴卵泡发育规律，集成、示范驴直肠检查发情鉴定、B超卵泡监控、同期发情、定时排卵与人工授精技术；示范、推广驴性控精液技术；优化驴精液低温、冷冻保存技术方法，开发驴精液专用低温、冷冻保存稀释液，形成驴的高效繁殖技术体系，实现扩群增量目标。</w:t>
      </w:r>
      <w:bookmarkStart w:id="1" w:name="_Hlk21514071"/>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方正仿宋_GBK" w:hAnsi="方正仿宋_GBK" w:eastAsia="方正仿宋_GBK" w:cs="方正仿宋_GBK"/>
          <w:b/>
          <w:bCs w:val="0"/>
          <w:kern w:val="0"/>
          <w:sz w:val="32"/>
          <w:szCs w:val="32"/>
        </w:rPr>
      </w:pPr>
      <w:r>
        <w:rPr>
          <w:rFonts w:hint="eastAsia" w:ascii="方正仿宋_GBK" w:hAnsi="方正仿宋_GBK" w:eastAsia="方正仿宋_GBK" w:cs="方正仿宋_GBK"/>
          <w:b/>
          <w:bCs w:val="0"/>
          <w:kern w:val="0"/>
          <w:sz w:val="32"/>
          <w:szCs w:val="32"/>
        </w:rPr>
        <w:t>任务3</w:t>
      </w:r>
      <w:r>
        <w:rPr>
          <w:rFonts w:hint="eastAsia" w:ascii="方正仿宋_GBK" w:hAnsi="方正仿宋_GBK" w:eastAsia="方正仿宋_GBK" w:cs="方正仿宋_GBK"/>
          <w:b/>
          <w:bCs w:val="0"/>
          <w:kern w:val="0"/>
          <w:sz w:val="32"/>
          <w:szCs w:val="32"/>
          <w:lang w:val="en-US" w:eastAsia="zh-CN"/>
        </w:rPr>
        <w:t>.</w:t>
      </w:r>
      <w:r>
        <w:rPr>
          <w:rFonts w:hint="eastAsia" w:ascii="方正仿宋_GBK" w:hAnsi="方正仿宋_GBK" w:eastAsia="方正仿宋_GBK" w:cs="方正仿宋_GBK"/>
          <w:b/>
          <w:bCs w:val="0"/>
          <w:kern w:val="0"/>
          <w:sz w:val="32"/>
          <w:szCs w:val="32"/>
        </w:rPr>
        <w:t>标准化饲喂技术示范与推广</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基于集约化规模养殖和粗放式庭院养殖的两种生产模式，以提高饲料转换效率为目标，根据新疆不同区域农作物秸秆和饲草饲料资源实际情况，针对不同生产用途、不同生理阶段的营养需要特点，开展全株玉米青贮饲喂技术、种驴精料补充料、育肥驴、奶驴不同阶段和幼驴代乳料配方筛选及标准化饲喂技术等方面的研究与推广，提高养殖综合经济效益。</w:t>
      </w:r>
    </w:p>
    <w:bookmarkEnd w:id="1"/>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方正仿宋_GBK" w:hAnsi="方正仿宋_GBK" w:eastAsia="方正仿宋_GBK" w:cs="方正仿宋_GBK"/>
          <w:b/>
          <w:bCs w:val="0"/>
          <w:kern w:val="0"/>
          <w:sz w:val="32"/>
          <w:szCs w:val="32"/>
        </w:rPr>
      </w:pPr>
      <w:r>
        <w:rPr>
          <w:rFonts w:hint="eastAsia" w:ascii="方正仿宋_GBK" w:hAnsi="方正仿宋_GBK" w:eastAsia="方正仿宋_GBK" w:cs="方正仿宋_GBK"/>
          <w:b/>
          <w:bCs w:val="0"/>
          <w:kern w:val="0"/>
          <w:sz w:val="32"/>
          <w:szCs w:val="32"/>
        </w:rPr>
        <w:t>任务4</w:t>
      </w:r>
      <w:r>
        <w:rPr>
          <w:rFonts w:hint="eastAsia" w:ascii="方正仿宋_GBK" w:hAnsi="方正仿宋_GBK" w:eastAsia="方正仿宋_GBK" w:cs="方正仿宋_GBK"/>
          <w:b/>
          <w:bCs w:val="0"/>
          <w:kern w:val="0"/>
          <w:sz w:val="32"/>
          <w:szCs w:val="32"/>
          <w:lang w:val="en-US" w:eastAsia="zh-CN"/>
        </w:rPr>
        <w:t>.</w:t>
      </w:r>
      <w:r>
        <w:rPr>
          <w:rFonts w:hint="eastAsia" w:ascii="方正仿宋_GBK" w:hAnsi="方正仿宋_GBK" w:eastAsia="方正仿宋_GBK" w:cs="方正仿宋_GBK"/>
          <w:b/>
          <w:bCs w:val="0"/>
          <w:kern w:val="0"/>
          <w:sz w:val="32"/>
          <w:szCs w:val="32"/>
        </w:rPr>
        <w:t>驴传染病防控技术集成示范</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在南疆建立示范区，以规模驴养殖场和庭院饲养为主要生产模式，建立标准化驴流行性感冒、腺疫、流产沙门氏菌诊断技术和预防控制方案，组装配套和集成示范</w:t>
      </w:r>
      <w:r>
        <w:rPr>
          <w:rFonts w:hint="eastAsia" w:ascii="方正仿宋_GBK" w:hAnsi="方正仿宋_GBK" w:eastAsia="方正仿宋_GBK" w:cs="方正仿宋_GBK"/>
          <w:sz w:val="32"/>
          <w:szCs w:val="32"/>
          <w:lang w:eastAsia="zh-CN"/>
        </w:rPr>
        <w:t>南</w:t>
      </w:r>
      <w:r>
        <w:rPr>
          <w:rFonts w:hint="eastAsia" w:ascii="方正仿宋_GBK" w:hAnsi="方正仿宋_GBK" w:eastAsia="方正仿宋_GBK" w:cs="方正仿宋_GBK"/>
          <w:sz w:val="32"/>
          <w:szCs w:val="32"/>
        </w:rPr>
        <w:t>疆驴的传染病防控技术体系，提高示范区的技术整装应用水平、综合生产能力和综合经济效益。</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方正仿宋_GBK" w:hAnsi="方正仿宋_GBK" w:eastAsia="方正仿宋_GBK" w:cs="方正仿宋_GBK"/>
          <w:b/>
          <w:bCs w:val="0"/>
          <w:kern w:val="0"/>
          <w:sz w:val="32"/>
          <w:szCs w:val="32"/>
        </w:rPr>
      </w:pPr>
      <w:r>
        <w:rPr>
          <w:rFonts w:hint="eastAsia" w:ascii="方正仿宋_GBK" w:hAnsi="方正仿宋_GBK" w:eastAsia="方正仿宋_GBK" w:cs="方正仿宋_GBK"/>
          <w:b/>
          <w:bCs w:val="0"/>
          <w:kern w:val="0"/>
          <w:sz w:val="32"/>
          <w:szCs w:val="32"/>
        </w:rPr>
        <w:t>任务5</w:t>
      </w:r>
      <w:r>
        <w:rPr>
          <w:rFonts w:hint="eastAsia" w:ascii="方正仿宋_GBK" w:hAnsi="方正仿宋_GBK" w:eastAsia="方正仿宋_GBK" w:cs="方正仿宋_GBK"/>
          <w:b/>
          <w:bCs w:val="0"/>
          <w:kern w:val="0"/>
          <w:sz w:val="32"/>
          <w:szCs w:val="32"/>
          <w:lang w:val="en-US" w:eastAsia="zh-CN"/>
        </w:rPr>
        <w:t>.</w:t>
      </w:r>
      <w:r>
        <w:rPr>
          <w:rFonts w:hint="eastAsia" w:ascii="方正仿宋_GBK" w:hAnsi="方正仿宋_GBK" w:eastAsia="方正仿宋_GBK" w:cs="方正仿宋_GBK"/>
          <w:b/>
          <w:bCs w:val="0"/>
          <w:kern w:val="0"/>
          <w:sz w:val="32"/>
          <w:szCs w:val="32"/>
        </w:rPr>
        <w:t>驴副产品深度开发及其质量控制技术应用研究</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开发以驴奶为基材的特殊医药用途配方食品，逐步为广大患者提供能够改进病患生存条件的个性化医疗保健服务和解决方案。开展驴奶功能性活性物质的深入研究和系列产品开发；开展驴奶灭菌工艺研究，保障驴奶加工产品的生物活性。开展驴宰前、宰中及宰后的关键点技术研究，提高驴肉品质；开展驴肉保鲜及分割技术研究，提高驴肉销量；开展驴肉贮存过程中品质变化与氧化、微生物菌群结构及菌落变化规律相关行的研究。开发研制阿胶、驴奶皂、驴油系列产品。开展原料肉、乳及其加工制品的质量安全控制体系研究，优化现有加工工艺与技术，开发高附加值的特色乳制品及肉制品，并规模上市。</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方正仿宋_GBK" w:hAnsi="方正仿宋_GBK" w:eastAsia="方正仿宋_GBK" w:cs="方正仿宋_GBK"/>
          <w:b/>
          <w:bCs w:val="0"/>
          <w:kern w:val="0"/>
          <w:sz w:val="32"/>
          <w:szCs w:val="32"/>
        </w:rPr>
      </w:pPr>
      <w:r>
        <w:rPr>
          <w:rFonts w:hint="eastAsia" w:ascii="方正仿宋_GBK" w:hAnsi="方正仿宋_GBK" w:eastAsia="方正仿宋_GBK" w:cs="方正仿宋_GBK"/>
          <w:b/>
          <w:bCs w:val="0"/>
          <w:kern w:val="0"/>
          <w:sz w:val="32"/>
          <w:szCs w:val="32"/>
        </w:rPr>
        <w:t>任务6.驴高效健康养殖技术集成示范</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在南北疆建立示范区，建立标准化规模养殖场，发展养殖大户，推动驴由散养向适度规模养殖转变。以科技为支撑，加快品种改良，实行科学饲养和管理，完善防疫体系建设，提高示范区的技术整装应用水平、综合生产能力和综合经济效益。建设成为可复制、可推广、易实施的提质增效示范区。鼓励农户（贫困户）以养驴合作社为载体，与从事驴奶、肉、皮生产加工的企业进行合作。</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方正仿宋_GBK" w:hAnsi="方正仿宋_GBK" w:eastAsia="方正仿宋_GBK" w:cs="方正仿宋_GBK"/>
          <w:b/>
          <w:bCs w:val="0"/>
          <w:kern w:val="0"/>
          <w:sz w:val="32"/>
          <w:szCs w:val="32"/>
        </w:rPr>
      </w:pPr>
      <w:r>
        <w:rPr>
          <w:rFonts w:hint="eastAsia" w:ascii="方正仿宋_GBK" w:hAnsi="方正仿宋_GBK" w:eastAsia="方正仿宋_GBK" w:cs="方正仿宋_GBK"/>
          <w:b/>
          <w:bCs w:val="0"/>
          <w:kern w:val="0"/>
          <w:sz w:val="32"/>
          <w:szCs w:val="32"/>
        </w:rPr>
        <w:t>任务7</w:t>
      </w:r>
      <w:r>
        <w:rPr>
          <w:rFonts w:hint="eastAsia" w:ascii="方正仿宋_GBK" w:hAnsi="方正仿宋_GBK" w:eastAsia="方正仿宋_GBK" w:cs="方正仿宋_GBK"/>
          <w:b/>
          <w:bCs w:val="0"/>
          <w:kern w:val="0"/>
          <w:sz w:val="32"/>
          <w:szCs w:val="32"/>
          <w:lang w:val="en-US" w:eastAsia="zh-CN"/>
        </w:rPr>
        <w:t>.</w:t>
      </w:r>
      <w:r>
        <w:rPr>
          <w:rFonts w:hint="eastAsia" w:ascii="方正仿宋_GBK" w:hAnsi="方正仿宋_GBK" w:eastAsia="方正仿宋_GBK" w:cs="方正仿宋_GBK"/>
          <w:b/>
          <w:bCs w:val="0"/>
          <w:kern w:val="0"/>
          <w:sz w:val="32"/>
          <w:szCs w:val="32"/>
        </w:rPr>
        <w:t>驴产业发展模式总结与示范</w:t>
      </w:r>
    </w:p>
    <w:p>
      <w:pPr>
        <w:keepNext w:val="0"/>
        <w:keepLines w:val="0"/>
        <w:pageBreakBefore w:val="0"/>
        <w:tabs>
          <w:tab w:val="left" w:pos="675"/>
          <w:tab w:val="left" w:pos="2235"/>
          <w:tab w:val="left" w:pos="4503"/>
          <w:tab w:val="left" w:pos="6345"/>
          <w:tab w:val="left" w:pos="7763"/>
          <w:tab w:val="left" w:pos="8897"/>
          <w:tab w:val="left" w:pos="10740"/>
        </w:tabs>
        <w:kinsoku/>
        <w:wordWrap/>
        <w:overflowPunct/>
        <w:topLinePunct w:val="0"/>
        <w:autoSpaceDE/>
        <w:autoSpaceDN/>
        <w:bidi w:val="0"/>
        <w:adjustRightInd/>
        <w:snapToGrid/>
        <w:spacing w:line="560" w:lineRule="exact"/>
        <w:ind w:left="0" w:leftChars="0" w:right="0" w:rightChars="0" w:firstLine="640" w:firstLineChars="200"/>
        <w:jc w:val="lef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在新疆南北疆驴产业开展实地调研，了解新疆驴产业发展现状存在的问题、痛点和难点，总结现有典型经营模式，剖析各模式内部运行机制，评估其经济效益、生态效益以及社会效益，理清其发展优劣势与推广适应性条件，并指导开展模式示范，以期为新疆驴产业健康高质量发展提供有益建议或咨询服务。</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方正仿宋_GBK" w:hAnsi="方正仿宋_GBK" w:eastAsia="方正仿宋_GBK" w:cs="方正仿宋_GBK"/>
          <w:b/>
          <w:bCs w:val="0"/>
          <w:kern w:val="0"/>
          <w:sz w:val="32"/>
          <w:szCs w:val="32"/>
        </w:rPr>
      </w:pPr>
      <w:r>
        <w:rPr>
          <w:rFonts w:hint="eastAsia" w:ascii="方正仿宋_GBK" w:hAnsi="方正仿宋_GBK" w:eastAsia="方正仿宋_GBK" w:cs="方正仿宋_GBK"/>
          <w:b/>
          <w:bCs w:val="0"/>
          <w:kern w:val="0"/>
          <w:sz w:val="32"/>
          <w:szCs w:val="32"/>
        </w:rPr>
        <w:t>任务8</w:t>
      </w:r>
      <w:r>
        <w:rPr>
          <w:rFonts w:hint="eastAsia" w:ascii="方正仿宋_GBK" w:hAnsi="方正仿宋_GBK" w:eastAsia="方正仿宋_GBK" w:cs="方正仿宋_GBK"/>
          <w:b/>
          <w:bCs w:val="0"/>
          <w:kern w:val="0"/>
          <w:sz w:val="32"/>
          <w:szCs w:val="32"/>
          <w:lang w:val="en-US" w:eastAsia="zh-CN"/>
        </w:rPr>
        <w:t>.</w:t>
      </w:r>
      <w:r>
        <w:rPr>
          <w:rFonts w:hint="eastAsia" w:ascii="方正仿宋_GBK" w:hAnsi="方正仿宋_GBK" w:eastAsia="方正仿宋_GBK" w:cs="方正仿宋_GBK"/>
          <w:b/>
          <w:bCs w:val="0"/>
          <w:kern w:val="0"/>
          <w:sz w:val="32"/>
          <w:szCs w:val="32"/>
        </w:rPr>
        <w:t>大力度实施科技培训素质工程建设</w:t>
      </w:r>
    </w:p>
    <w:p>
      <w:pPr>
        <w:keepNext w:val="0"/>
        <w:keepLines w:val="0"/>
        <w:pageBreakBefore w:val="0"/>
        <w:tabs>
          <w:tab w:val="left" w:pos="675"/>
          <w:tab w:val="left" w:pos="2235"/>
          <w:tab w:val="left" w:pos="4503"/>
          <w:tab w:val="left" w:pos="6345"/>
          <w:tab w:val="left" w:pos="7763"/>
          <w:tab w:val="left" w:pos="8897"/>
          <w:tab w:val="left" w:pos="10740"/>
        </w:tabs>
        <w:kinsoku/>
        <w:wordWrap/>
        <w:overflowPunct/>
        <w:topLinePunct w:val="0"/>
        <w:autoSpaceDE/>
        <w:autoSpaceDN/>
        <w:bidi w:val="0"/>
        <w:adjustRightInd/>
        <w:snapToGrid/>
        <w:spacing w:line="560" w:lineRule="exact"/>
        <w:ind w:left="0" w:leftChars="0" w:right="0" w:rightChars="0" w:firstLine="640" w:firstLineChars="200"/>
        <w:jc w:val="lef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主要对县、乡、村三级养殖大户、</w:t>
      </w:r>
      <w:bookmarkStart w:id="2" w:name="_Hlk2763837"/>
      <w:r>
        <w:rPr>
          <w:rFonts w:hint="eastAsia" w:ascii="方正仿宋_GBK" w:hAnsi="方正仿宋_GBK" w:eastAsia="方正仿宋_GBK" w:cs="方正仿宋_GBK"/>
          <w:sz w:val="32"/>
          <w:szCs w:val="32"/>
        </w:rPr>
        <w:t>养殖企业、</w:t>
      </w:r>
      <w:bookmarkEnd w:id="2"/>
      <w:r>
        <w:rPr>
          <w:rFonts w:hint="eastAsia" w:ascii="方正仿宋_GBK" w:hAnsi="方正仿宋_GBK" w:eastAsia="方正仿宋_GBK" w:cs="方正仿宋_GBK"/>
          <w:sz w:val="32"/>
          <w:szCs w:val="32"/>
        </w:rPr>
        <w:t>人工授精配种人员、养殖能手、防疫员、检疫员、监督员进行理论、业务、技能培训；采用课堂教学、现场培训、媒体教学等多种传统与现代培训手段，扩大培训规模，提高培训质量和效益，将培训从县、乡、村延伸至户、场、圈。通过比较系统、正规的培训，使基层学员真正学到最实际、最实用的畜牧种草、养殖、防疫、加工科技知识。</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bCs/>
          <w:kern w:val="0"/>
          <w:sz w:val="32"/>
          <w:szCs w:val="32"/>
        </w:rPr>
      </w:pPr>
      <w:r>
        <w:rPr>
          <w:rFonts w:hint="eastAsia" w:ascii="黑体" w:hAnsi="黑体" w:eastAsia="黑体" w:cs="黑体"/>
          <w:bCs/>
          <w:kern w:val="0"/>
          <w:sz w:val="32"/>
          <w:szCs w:val="32"/>
        </w:rPr>
        <w:t>三、考核指标</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方正仿宋_GBK" w:hAnsi="方正仿宋_GBK" w:eastAsia="方正仿宋_GBK" w:cs="方正仿宋_GBK"/>
          <w:b/>
          <w:bCs w:val="0"/>
          <w:kern w:val="0"/>
          <w:sz w:val="32"/>
          <w:szCs w:val="32"/>
        </w:rPr>
      </w:pPr>
      <w:r>
        <w:rPr>
          <w:rFonts w:hint="eastAsia" w:ascii="方正仿宋_GBK" w:hAnsi="方正仿宋_GBK" w:eastAsia="方正仿宋_GBK" w:cs="方正仿宋_GBK"/>
          <w:b/>
          <w:bCs w:val="0"/>
          <w:kern w:val="0"/>
          <w:sz w:val="32"/>
          <w:szCs w:val="32"/>
        </w:rPr>
        <w:t>约束性指标：</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1.筛选与肉品质、乳产量、蛋白含量相关基因3个和分子标记2个；在线登记驴5000头以上，体型评定1000头以上。</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2.驴人工授精5000头次/年，情期受胎率50%以上；平均产驹间隔缩短30天左右。示范、推广性控精液300头次/年，母驹率不低于65%；开发驴低温保存、冷冻保存稀释液各1个，年生产细管鲜精20000剂、细管冻精3000剂。</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contextualSpacing/>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3.推广了泌乳驴、妊娠驴、育肥驴、种公驴饲料配方各1个；推广了驴驹代乳料饲料配方1个。</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4.研制新产品2个、特色肉、乳制品各2个。延长驴肉保鲜期5天以上；降低驴肉滴水损伤1%以上。驴乳脂平均含量大于0.8%；制定技术标准1个；</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5.授权或获得授权国家发明专利3项，实用新型专利5项，制订驴的人工授精技术、高效养殖技术、性别控制标准、同期发情和定时输精技术疫病防控技术、原奶质量安全控制技术标准或规程共8项。</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6.建立驴繁殖技术集成示范基地（600头规模）2个；品种改良技术集成示范辐射驴5000头。</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方正仿宋_GBK" w:hAnsi="方正仿宋_GBK" w:eastAsia="方正仿宋_GBK" w:cs="方正仿宋_GBK"/>
          <w:b/>
          <w:bCs w:val="0"/>
          <w:kern w:val="0"/>
          <w:sz w:val="32"/>
          <w:szCs w:val="32"/>
        </w:rPr>
      </w:pPr>
      <w:r>
        <w:rPr>
          <w:rFonts w:hint="eastAsia" w:ascii="方正仿宋_GBK" w:hAnsi="方正仿宋_GBK" w:eastAsia="方正仿宋_GBK" w:cs="方正仿宋_GBK"/>
          <w:b/>
          <w:bCs w:val="0"/>
          <w:kern w:val="0"/>
          <w:sz w:val="32"/>
          <w:szCs w:val="32"/>
        </w:rPr>
        <w:t>预期性指标：</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1.发表论文10篇；培训农牧民和技术人员3000人次。</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2.加工企业生产效率显著提升，新增产值5000万。</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3.预计新增就业岗位300余个，实现精准扶贫300户。</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bCs/>
          <w:kern w:val="0"/>
          <w:sz w:val="32"/>
          <w:szCs w:val="32"/>
        </w:rPr>
      </w:pPr>
      <w:r>
        <w:rPr>
          <w:rFonts w:hint="eastAsia" w:ascii="黑体" w:hAnsi="黑体" w:eastAsia="黑体" w:cs="黑体"/>
          <w:bCs/>
          <w:kern w:val="0"/>
          <w:sz w:val="32"/>
          <w:szCs w:val="32"/>
        </w:rPr>
        <w:t>四、申报要求</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1.以科研院所为申报主体，产学研推联合申报。</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2.项目整体申报，须覆盖全部考核指标。</w:t>
      </w:r>
    </w:p>
    <w:p>
      <w:pPr>
        <w:jc w:val="center"/>
        <w:outlineLvl w:val="3"/>
        <w:rPr>
          <w:rFonts w:ascii="楷体" w:hAnsi="楷体" w:eastAsia="楷体" w:cs="楷体"/>
          <w:b/>
          <w:bCs/>
          <w:kern w:val="0"/>
          <w:sz w:val="32"/>
          <w:szCs w:val="28"/>
        </w:rPr>
      </w:pPr>
    </w:p>
    <w:p>
      <w:pPr>
        <w:jc w:val="center"/>
        <w:outlineLvl w:val="3"/>
        <w:rPr>
          <w:rFonts w:ascii="楷体" w:hAnsi="楷体" w:eastAsia="楷体" w:cs="楷体"/>
          <w:b/>
          <w:bCs/>
          <w:kern w:val="0"/>
          <w:sz w:val="32"/>
          <w:szCs w:val="28"/>
        </w:rPr>
      </w:pPr>
    </w:p>
    <w:p>
      <w:pPr>
        <w:spacing w:line="560" w:lineRule="exact"/>
        <w:jc w:val="center"/>
        <w:outlineLvl w:val="3"/>
        <w:rPr>
          <w:rFonts w:hint="eastAsia" w:ascii="楷体" w:hAnsi="楷体" w:eastAsia="楷体" w:cs="楷体"/>
          <w:b/>
          <w:bCs/>
          <w:kern w:val="0"/>
          <w:sz w:val="32"/>
          <w:szCs w:val="28"/>
        </w:rPr>
      </w:pPr>
      <w:r>
        <w:rPr>
          <w:rFonts w:hint="eastAsia" w:ascii="楷体" w:hAnsi="楷体" w:eastAsia="楷体" w:cs="楷体"/>
          <w:b/>
          <w:bCs/>
          <w:kern w:val="0"/>
          <w:sz w:val="32"/>
          <w:szCs w:val="28"/>
        </w:rPr>
        <w:br w:type="page"/>
      </w:r>
    </w:p>
    <w:p>
      <w:pPr>
        <w:spacing w:line="560" w:lineRule="exact"/>
        <w:jc w:val="center"/>
        <w:outlineLvl w:val="3"/>
        <w:rPr>
          <w:rFonts w:hint="eastAsia" w:ascii="方正仿宋_GBK" w:hAnsi="方正仿宋_GBK" w:eastAsia="方正仿宋_GBK" w:cs="方正仿宋_GBK"/>
          <w:b/>
          <w:bCs/>
          <w:kern w:val="0"/>
          <w:sz w:val="28"/>
          <w:szCs w:val="24"/>
        </w:rPr>
      </w:pPr>
      <w:r>
        <w:rPr>
          <w:rFonts w:hint="eastAsia" w:ascii="方正仿宋_GBK" w:hAnsi="方正仿宋_GBK" w:eastAsia="方正仿宋_GBK" w:cs="方正仿宋_GBK"/>
          <w:b/>
          <w:bCs/>
          <w:kern w:val="0"/>
          <w:sz w:val="28"/>
          <w:szCs w:val="24"/>
        </w:rPr>
        <w:t>申报指南编写组专家</w:t>
      </w:r>
    </w:p>
    <w:tbl>
      <w:tblPr>
        <w:tblStyle w:val="11"/>
        <w:tblW w:w="8905" w:type="dxa"/>
        <w:jc w:val="center"/>
        <w:tblInd w:w="0" w:type="dxa"/>
        <w:tblLayout w:type="fixed"/>
        <w:tblCellMar>
          <w:top w:w="0" w:type="dxa"/>
          <w:left w:w="0" w:type="dxa"/>
          <w:bottom w:w="0" w:type="dxa"/>
          <w:right w:w="0" w:type="dxa"/>
        </w:tblCellMar>
      </w:tblPr>
      <w:tblGrid>
        <w:gridCol w:w="919"/>
        <w:gridCol w:w="1176"/>
        <w:gridCol w:w="5028"/>
        <w:gridCol w:w="1782"/>
      </w:tblGrid>
      <w:tr>
        <w:tblPrEx>
          <w:tblLayout w:type="fixed"/>
          <w:tblCellMar>
            <w:top w:w="0" w:type="dxa"/>
            <w:left w:w="0" w:type="dxa"/>
            <w:bottom w:w="0" w:type="dxa"/>
            <w:right w:w="0" w:type="dxa"/>
          </w:tblCellMar>
        </w:tblPrEx>
        <w:trPr>
          <w:trHeight w:val="360" w:hRule="atLeast"/>
          <w:jc w:val="center"/>
        </w:trPr>
        <w:tc>
          <w:tcPr>
            <w:tcW w:w="91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spacing w:line="400" w:lineRule="exact"/>
              <w:jc w:val="center"/>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序</w:t>
            </w:r>
            <w:bookmarkStart w:id="3" w:name="_GoBack"/>
            <w:bookmarkEnd w:id="3"/>
            <w:r>
              <w:rPr>
                <w:rFonts w:hint="eastAsia" w:ascii="方正仿宋_GBK" w:hAnsi="方正仿宋_GBK" w:eastAsia="方正仿宋_GBK" w:cs="方正仿宋_GBK"/>
                <w:b/>
                <w:sz w:val="28"/>
                <w:szCs w:val="28"/>
              </w:rPr>
              <w:t>号</w:t>
            </w:r>
          </w:p>
        </w:tc>
        <w:tc>
          <w:tcPr>
            <w:tcW w:w="1176"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spacing w:line="400" w:lineRule="exact"/>
              <w:jc w:val="center"/>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姓</w:t>
            </w:r>
            <w:r>
              <w:rPr>
                <w:rFonts w:hint="eastAsia" w:ascii="方正仿宋_GBK" w:hAnsi="方正仿宋_GBK" w:eastAsia="方正仿宋_GBK" w:cs="方正仿宋_GBK"/>
                <w:b/>
                <w:sz w:val="28"/>
                <w:szCs w:val="28"/>
                <w:lang w:val="en-US" w:eastAsia="zh-CN"/>
              </w:rPr>
              <w:t xml:space="preserve"> </w:t>
            </w:r>
            <w:r>
              <w:rPr>
                <w:rFonts w:hint="eastAsia" w:ascii="方正仿宋_GBK" w:hAnsi="方正仿宋_GBK" w:eastAsia="方正仿宋_GBK" w:cs="方正仿宋_GBK"/>
                <w:b/>
                <w:sz w:val="28"/>
                <w:szCs w:val="28"/>
              </w:rPr>
              <w:t>名</w:t>
            </w:r>
          </w:p>
        </w:tc>
        <w:tc>
          <w:tcPr>
            <w:tcW w:w="502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spacing w:line="400" w:lineRule="exact"/>
              <w:jc w:val="center"/>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单</w:t>
            </w:r>
            <w:r>
              <w:rPr>
                <w:rFonts w:hint="eastAsia" w:ascii="方正仿宋_GBK" w:hAnsi="方正仿宋_GBK" w:eastAsia="方正仿宋_GBK" w:cs="方正仿宋_GBK"/>
                <w:b/>
                <w:sz w:val="28"/>
                <w:szCs w:val="28"/>
                <w:lang w:val="en-US" w:eastAsia="zh-CN"/>
              </w:rPr>
              <w:t xml:space="preserve"> </w:t>
            </w:r>
            <w:r>
              <w:rPr>
                <w:rFonts w:hint="eastAsia" w:ascii="方正仿宋_GBK" w:hAnsi="方正仿宋_GBK" w:eastAsia="方正仿宋_GBK" w:cs="方正仿宋_GBK"/>
                <w:b/>
                <w:sz w:val="28"/>
                <w:szCs w:val="28"/>
              </w:rPr>
              <w:t>位</w:t>
            </w:r>
          </w:p>
        </w:tc>
        <w:tc>
          <w:tcPr>
            <w:tcW w:w="1782"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spacing w:line="400" w:lineRule="exact"/>
              <w:jc w:val="center"/>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职称/职务</w:t>
            </w:r>
          </w:p>
        </w:tc>
      </w:tr>
      <w:tr>
        <w:tblPrEx>
          <w:tblLayout w:type="fixed"/>
          <w:tblCellMar>
            <w:top w:w="0" w:type="dxa"/>
            <w:left w:w="0" w:type="dxa"/>
            <w:bottom w:w="0" w:type="dxa"/>
            <w:right w:w="0" w:type="dxa"/>
          </w:tblCellMar>
        </w:tblPrEx>
        <w:trPr>
          <w:trHeight w:val="356" w:hRule="atLeast"/>
          <w:jc w:val="center"/>
        </w:trPr>
        <w:tc>
          <w:tcPr>
            <w:tcW w:w="919"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pacing w:line="400" w:lineRule="exact"/>
              <w:jc w:val="center"/>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w:t>
            </w:r>
          </w:p>
        </w:tc>
        <w:tc>
          <w:tcPr>
            <w:tcW w:w="1176"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line="400" w:lineRule="exact"/>
              <w:jc w:val="center"/>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韩国才</w:t>
            </w:r>
          </w:p>
        </w:tc>
        <w:tc>
          <w:tcPr>
            <w:tcW w:w="5028"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line="400" w:lineRule="exact"/>
              <w:jc w:val="center"/>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中国农业大学</w:t>
            </w:r>
          </w:p>
        </w:tc>
        <w:tc>
          <w:tcPr>
            <w:tcW w:w="1782"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line="400" w:lineRule="exact"/>
              <w:jc w:val="center"/>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教授</w:t>
            </w:r>
          </w:p>
        </w:tc>
      </w:tr>
      <w:tr>
        <w:tblPrEx>
          <w:tblLayout w:type="fixed"/>
          <w:tblCellMar>
            <w:top w:w="0" w:type="dxa"/>
            <w:left w:w="0" w:type="dxa"/>
            <w:bottom w:w="0" w:type="dxa"/>
            <w:right w:w="0" w:type="dxa"/>
          </w:tblCellMar>
        </w:tblPrEx>
        <w:trPr>
          <w:trHeight w:val="132" w:hRule="atLeast"/>
          <w:jc w:val="center"/>
        </w:trPr>
        <w:tc>
          <w:tcPr>
            <w:tcW w:w="919"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pacing w:line="400" w:lineRule="exact"/>
              <w:jc w:val="center"/>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w:t>
            </w:r>
          </w:p>
        </w:tc>
        <w:tc>
          <w:tcPr>
            <w:tcW w:w="1176"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line="400" w:lineRule="exact"/>
              <w:jc w:val="center"/>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杨开伦</w:t>
            </w:r>
          </w:p>
        </w:tc>
        <w:tc>
          <w:tcPr>
            <w:tcW w:w="5028"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line="400" w:lineRule="exact"/>
              <w:jc w:val="center"/>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新疆农业大学</w:t>
            </w:r>
          </w:p>
        </w:tc>
        <w:tc>
          <w:tcPr>
            <w:tcW w:w="1782"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line="400" w:lineRule="exact"/>
              <w:jc w:val="center"/>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院长/教授</w:t>
            </w:r>
          </w:p>
        </w:tc>
      </w:tr>
      <w:tr>
        <w:tblPrEx>
          <w:tblLayout w:type="fixed"/>
          <w:tblCellMar>
            <w:top w:w="0" w:type="dxa"/>
            <w:left w:w="0" w:type="dxa"/>
            <w:bottom w:w="0" w:type="dxa"/>
            <w:right w:w="0" w:type="dxa"/>
          </w:tblCellMar>
        </w:tblPrEx>
        <w:trPr>
          <w:trHeight w:val="282" w:hRule="atLeast"/>
          <w:jc w:val="center"/>
        </w:trPr>
        <w:tc>
          <w:tcPr>
            <w:tcW w:w="919"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pacing w:line="400" w:lineRule="exact"/>
              <w:jc w:val="center"/>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w:t>
            </w:r>
          </w:p>
        </w:tc>
        <w:tc>
          <w:tcPr>
            <w:tcW w:w="1176"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line="400" w:lineRule="exact"/>
              <w:jc w:val="center"/>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武  坚</w:t>
            </w:r>
          </w:p>
        </w:tc>
        <w:tc>
          <w:tcPr>
            <w:tcW w:w="5028"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line="400" w:lineRule="exact"/>
              <w:jc w:val="center"/>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新疆畜牧科学院新疆畜牧科学院科管处</w:t>
            </w:r>
          </w:p>
        </w:tc>
        <w:tc>
          <w:tcPr>
            <w:tcW w:w="1782"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line="400" w:lineRule="exact"/>
              <w:jc w:val="center"/>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处长/研究员</w:t>
            </w:r>
          </w:p>
        </w:tc>
      </w:tr>
      <w:tr>
        <w:tblPrEx>
          <w:tblLayout w:type="fixed"/>
          <w:tblCellMar>
            <w:top w:w="0" w:type="dxa"/>
            <w:left w:w="0" w:type="dxa"/>
            <w:bottom w:w="0" w:type="dxa"/>
            <w:right w:w="0" w:type="dxa"/>
          </w:tblCellMar>
        </w:tblPrEx>
        <w:trPr>
          <w:trHeight w:val="276" w:hRule="atLeast"/>
          <w:jc w:val="center"/>
        </w:trPr>
        <w:tc>
          <w:tcPr>
            <w:tcW w:w="919" w:type="dxa"/>
            <w:tcBorders>
              <w:top w:val="nil"/>
              <w:left w:val="single" w:color="auto" w:sz="8" w:space="0"/>
              <w:bottom w:val="single" w:color="auto" w:sz="4" w:space="0"/>
              <w:right w:val="single" w:color="auto" w:sz="8" w:space="0"/>
            </w:tcBorders>
            <w:tcMar>
              <w:top w:w="0" w:type="dxa"/>
              <w:left w:w="108" w:type="dxa"/>
              <w:bottom w:w="0" w:type="dxa"/>
              <w:right w:w="108" w:type="dxa"/>
            </w:tcMar>
            <w:vAlign w:val="center"/>
          </w:tcPr>
          <w:p>
            <w:pPr>
              <w:spacing w:line="400" w:lineRule="exact"/>
              <w:jc w:val="center"/>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4</w:t>
            </w:r>
          </w:p>
        </w:tc>
        <w:tc>
          <w:tcPr>
            <w:tcW w:w="1176" w:type="dxa"/>
            <w:tcBorders>
              <w:top w:val="nil"/>
              <w:left w:val="nil"/>
              <w:bottom w:val="single" w:color="auto" w:sz="4" w:space="0"/>
              <w:right w:val="single" w:color="auto" w:sz="8" w:space="0"/>
            </w:tcBorders>
            <w:tcMar>
              <w:top w:w="0" w:type="dxa"/>
              <w:left w:w="108" w:type="dxa"/>
              <w:bottom w:w="0" w:type="dxa"/>
              <w:right w:w="108" w:type="dxa"/>
            </w:tcMar>
            <w:vAlign w:val="center"/>
          </w:tcPr>
          <w:p>
            <w:pPr>
              <w:spacing w:line="400" w:lineRule="exact"/>
              <w:jc w:val="center"/>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季跃光</w:t>
            </w:r>
          </w:p>
        </w:tc>
        <w:tc>
          <w:tcPr>
            <w:tcW w:w="5028" w:type="dxa"/>
            <w:tcBorders>
              <w:top w:val="nil"/>
              <w:left w:val="nil"/>
              <w:bottom w:val="single" w:color="auto" w:sz="4" w:space="0"/>
              <w:right w:val="single" w:color="auto" w:sz="8" w:space="0"/>
            </w:tcBorders>
            <w:tcMar>
              <w:top w:w="0" w:type="dxa"/>
              <w:left w:w="108" w:type="dxa"/>
              <w:bottom w:w="0" w:type="dxa"/>
              <w:right w:w="108" w:type="dxa"/>
            </w:tcMar>
            <w:vAlign w:val="center"/>
          </w:tcPr>
          <w:p>
            <w:pPr>
              <w:spacing w:line="400" w:lineRule="exact"/>
              <w:jc w:val="center"/>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新疆畜牧科学院畜牧研究所</w:t>
            </w:r>
          </w:p>
        </w:tc>
        <w:tc>
          <w:tcPr>
            <w:tcW w:w="1782" w:type="dxa"/>
            <w:tcBorders>
              <w:top w:val="nil"/>
              <w:left w:val="nil"/>
              <w:bottom w:val="single" w:color="auto" w:sz="4" w:space="0"/>
              <w:right w:val="single" w:color="auto" w:sz="8" w:space="0"/>
            </w:tcBorders>
            <w:tcMar>
              <w:top w:w="0" w:type="dxa"/>
              <w:left w:w="108" w:type="dxa"/>
              <w:bottom w:w="0" w:type="dxa"/>
              <w:right w:w="108" w:type="dxa"/>
            </w:tcMar>
            <w:vAlign w:val="center"/>
          </w:tcPr>
          <w:p>
            <w:pPr>
              <w:spacing w:line="400" w:lineRule="exact"/>
              <w:jc w:val="center"/>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研究员</w:t>
            </w:r>
          </w:p>
        </w:tc>
      </w:tr>
      <w:tr>
        <w:tblPrEx>
          <w:tblLayout w:type="fixed"/>
          <w:tblCellMar>
            <w:top w:w="0" w:type="dxa"/>
            <w:left w:w="0" w:type="dxa"/>
            <w:bottom w:w="0" w:type="dxa"/>
            <w:right w:w="0" w:type="dxa"/>
          </w:tblCellMar>
        </w:tblPrEx>
        <w:trPr>
          <w:trHeight w:val="254" w:hRule="atLeast"/>
          <w:jc w:val="center"/>
        </w:trPr>
        <w:tc>
          <w:tcPr>
            <w:tcW w:w="919" w:type="dxa"/>
            <w:tcBorders>
              <w:top w:val="single" w:color="auto" w:sz="4" w:space="0"/>
              <w:left w:val="single" w:color="auto" w:sz="4" w:space="0"/>
              <w:bottom w:val="single" w:color="auto" w:sz="4" w:space="0"/>
              <w:right w:val="single" w:color="auto" w:sz="8" w:space="0"/>
            </w:tcBorders>
            <w:tcMar>
              <w:top w:w="0" w:type="dxa"/>
              <w:left w:w="108" w:type="dxa"/>
              <w:bottom w:w="0" w:type="dxa"/>
              <w:right w:w="108" w:type="dxa"/>
            </w:tcMar>
            <w:vAlign w:val="center"/>
          </w:tcPr>
          <w:p>
            <w:pPr>
              <w:spacing w:line="400" w:lineRule="exact"/>
              <w:jc w:val="center"/>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5</w:t>
            </w:r>
          </w:p>
        </w:tc>
        <w:tc>
          <w:tcPr>
            <w:tcW w:w="1176" w:type="dxa"/>
            <w:tcBorders>
              <w:top w:val="single" w:color="auto" w:sz="4" w:space="0"/>
              <w:left w:val="nil"/>
              <w:bottom w:val="single" w:color="auto" w:sz="4" w:space="0"/>
              <w:right w:val="single" w:color="auto" w:sz="8" w:space="0"/>
            </w:tcBorders>
            <w:tcMar>
              <w:top w:w="0" w:type="dxa"/>
              <w:left w:w="108" w:type="dxa"/>
              <w:bottom w:w="0" w:type="dxa"/>
              <w:right w:w="108" w:type="dxa"/>
            </w:tcMar>
            <w:vAlign w:val="center"/>
          </w:tcPr>
          <w:p>
            <w:pPr>
              <w:spacing w:line="400" w:lineRule="exact"/>
              <w:jc w:val="center"/>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张小波</w:t>
            </w:r>
          </w:p>
        </w:tc>
        <w:tc>
          <w:tcPr>
            <w:tcW w:w="5028" w:type="dxa"/>
            <w:tcBorders>
              <w:top w:val="single" w:color="auto" w:sz="4" w:space="0"/>
              <w:left w:val="nil"/>
              <w:bottom w:val="single" w:color="auto" w:sz="4" w:space="0"/>
              <w:right w:val="single" w:color="auto" w:sz="8" w:space="0"/>
            </w:tcBorders>
            <w:tcMar>
              <w:top w:w="0" w:type="dxa"/>
              <w:left w:w="108" w:type="dxa"/>
              <w:bottom w:w="0" w:type="dxa"/>
              <w:right w:w="108" w:type="dxa"/>
            </w:tcMar>
            <w:vAlign w:val="center"/>
          </w:tcPr>
          <w:p>
            <w:pPr>
              <w:spacing w:line="400" w:lineRule="exact"/>
              <w:jc w:val="center"/>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新疆玉昆仑天然食品工程有限公司</w:t>
            </w:r>
          </w:p>
        </w:tc>
        <w:tc>
          <w:tcPr>
            <w:tcW w:w="1782" w:type="dxa"/>
            <w:tcBorders>
              <w:top w:val="single" w:color="auto" w:sz="4" w:space="0"/>
              <w:left w:val="nil"/>
              <w:bottom w:val="single" w:color="auto" w:sz="4" w:space="0"/>
              <w:right w:val="single" w:color="auto" w:sz="4" w:space="0"/>
            </w:tcBorders>
            <w:tcMar>
              <w:top w:w="0" w:type="dxa"/>
              <w:left w:w="108" w:type="dxa"/>
              <w:bottom w:w="0" w:type="dxa"/>
              <w:right w:w="108" w:type="dxa"/>
            </w:tcMar>
            <w:vAlign w:val="center"/>
          </w:tcPr>
          <w:p>
            <w:pPr>
              <w:spacing w:line="400" w:lineRule="exact"/>
              <w:jc w:val="center"/>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总经理</w:t>
            </w:r>
          </w:p>
        </w:tc>
      </w:tr>
      <w:tr>
        <w:tblPrEx>
          <w:tblLayout w:type="fixed"/>
          <w:tblCellMar>
            <w:top w:w="0" w:type="dxa"/>
            <w:left w:w="0" w:type="dxa"/>
            <w:bottom w:w="0" w:type="dxa"/>
            <w:right w:w="0" w:type="dxa"/>
          </w:tblCellMar>
        </w:tblPrEx>
        <w:trPr>
          <w:trHeight w:val="90" w:hRule="atLeast"/>
          <w:jc w:val="center"/>
        </w:trPr>
        <w:tc>
          <w:tcPr>
            <w:tcW w:w="8905" w:type="dxa"/>
            <w:gridSpan w:val="4"/>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line="400" w:lineRule="exact"/>
              <w:jc w:val="center"/>
              <w:rPr>
                <w:rFonts w:hint="eastAsia" w:ascii="仿宋" w:hAnsi="仿宋" w:eastAsia="仿宋" w:cs="Calibri"/>
                <w:kern w:val="0"/>
                <w:sz w:val="28"/>
                <w:szCs w:val="28"/>
              </w:rPr>
            </w:pPr>
            <w:r>
              <w:rPr>
                <w:rFonts w:hint="eastAsia" w:ascii="方正仿宋_GBK" w:hAnsi="方正仿宋_GBK" w:eastAsia="方正仿宋_GBK" w:cs="方正仿宋_GBK"/>
                <w:kern w:val="0"/>
                <w:sz w:val="28"/>
                <w:szCs w:val="28"/>
              </w:rPr>
              <w:t>注意：指南编写组专家不得参与或者申报项目</w:t>
            </w:r>
          </w:p>
        </w:tc>
      </w:tr>
    </w:tbl>
    <w:p>
      <w:pPr>
        <w:spacing w:line="560" w:lineRule="exact"/>
        <w:ind w:firstLine="640" w:firstLineChars="200"/>
        <w:jc w:val="left"/>
        <w:rPr>
          <w:rFonts w:ascii="Times New Roman" w:hAnsi="Times New Roman" w:eastAsia="方正仿宋_GBK" w:cs="Times New Roman"/>
          <w:kern w:val="0"/>
          <w:sz w:val="32"/>
        </w:rPr>
      </w:pPr>
    </w:p>
    <w:p>
      <w:pPr>
        <w:widowControl/>
        <w:snapToGrid w:val="0"/>
        <w:spacing w:line="560" w:lineRule="exact"/>
        <w:ind w:firstLine="640" w:firstLineChars="200"/>
        <w:jc w:val="center"/>
        <w:rPr>
          <w:rFonts w:ascii="仿宋" w:hAnsi="仿宋" w:eastAsia="仿宋" w:cs="仿宋"/>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A00002EF" w:usb1="4000004B" w:usb2="00000000" w:usb3="00000000" w:csb0="2000019F" w:csb1="00000000"/>
  </w:font>
  <w:font w:name="Calibri">
    <w:panose1 w:val="020F0502020204030204"/>
    <w:charset w:val="00"/>
    <w:family w:val="decorative"/>
    <w:pitch w:val="default"/>
    <w:sig w:usb0="E10002FF" w:usb1="4000ACFF" w:usb2="00000009"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A00002EF" w:usb1="4000004B" w:usb2="00000000" w:usb3="00000000" w:csb0="2000019F" w:csb1="00000000"/>
  </w:font>
  <w:font w:name="Calibri">
    <w:panose1 w:val="020F0502020204030204"/>
    <w:charset w:val="00"/>
    <w:family w:val="roman"/>
    <w:pitch w:val="default"/>
    <w:sig w:usb0="E10002FF" w:usb1="4000ACFF" w:usb2="00000009"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A00002EF" w:usb1="4000004B" w:usb2="00000000" w:usb3="00000000" w:csb0="2000019F" w:csb1="00000000"/>
  </w:font>
  <w:font w:name="Calibri">
    <w:panose1 w:val="020F0502020204030204"/>
    <w:charset w:val="00"/>
    <w:family w:val="modern"/>
    <w:pitch w:val="default"/>
    <w:sig w:usb0="E10002FF" w:usb1="4000ACFF" w:usb2="00000009" w:usb3="00000000" w:csb0="200001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19F" w:csb1="00000000"/>
  </w:font>
  <w:font w:name="Calibri">
    <w:panose1 w:val="020F0502020204030204"/>
    <w:charset w:val="00"/>
    <w:family w:val="swiss"/>
    <w:pitch w:val="default"/>
    <w:sig w:usb0="E10002FF" w:usb1="4000ACFF" w:usb2="00000009" w:usb3="00000000" w:csb0="2000019F" w:csb1="00000000"/>
  </w:font>
  <w:font w:name="等线">
    <w:altName w:val="宋体"/>
    <w:panose1 w:val="02010600030101010101"/>
    <w:charset w:val="86"/>
    <w:family w:val="auto"/>
    <w:pitch w:val="default"/>
    <w:sig w:usb0="00000000" w:usb1="00000000" w:usb2="00000016" w:usb3="00000000" w:csb0="0004000F" w:csb1="00000000"/>
  </w:font>
  <w:font w:name="方正小标宋_GBK">
    <w:panose1 w:val="03000509000000000000"/>
    <w:charset w:val="86"/>
    <w:family w:val="script"/>
    <w:pitch w:val="default"/>
    <w:sig w:usb0="00000001"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方正仿宋_GBK">
    <w:panose1 w:val="03000509000000000000"/>
    <w:charset w:val="86"/>
    <w:family w:val="script"/>
    <w:pitch w:val="default"/>
    <w:sig w:usb0="00000001" w:usb1="080E0000" w:usb2="00000000" w:usb3="00000000" w:csb0="00040000" w:csb1="00000000"/>
  </w:font>
  <w:font w:name="仿宋_GB2312">
    <w:panose1 w:val="02010609030101010101"/>
    <w:charset w:val="86"/>
    <w:family w:val="roman"/>
    <w:pitch w:val="default"/>
    <w:sig w:usb0="00000001" w:usb1="080E0000" w:usb2="00000000" w:usb3="00000000" w:csb0="00040000" w:csb1="00000000"/>
  </w:font>
  <w:font w:name="黑体">
    <w:panose1 w:val="02010609060101010101"/>
    <w:charset w:val="86"/>
    <w:family w:val="roman"/>
    <w:pitch w:val="default"/>
    <w:sig w:usb0="800002BF" w:usb1="38CF7CFA" w:usb2="00000016" w:usb3="00000000" w:csb0="00040001" w:csb1="00000000"/>
  </w:font>
  <w:font w:name="仿宋">
    <w:panose1 w:val="02010609060101010101"/>
    <w:charset w:val="86"/>
    <w:family w:val="roman"/>
    <w:pitch w:val="default"/>
    <w:sig w:usb0="800002BF" w:usb1="38CF7CFA" w:usb2="00000016" w:usb3="00000000" w:csb0="00040001" w:csb1="00000000"/>
  </w:font>
  <w:font w:name="楷体">
    <w:panose1 w:val="02010609060101010101"/>
    <w:charset w:val="86"/>
    <w:family w:val="roman"/>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Microsoft YaHei UI">
    <w:altName w:val="微软雅黑"/>
    <w:panose1 w:val="00000000000000000000"/>
    <w:charset w:val="86"/>
    <w:family w:val="decorative"/>
    <w:pitch w:val="default"/>
    <w:sig w:usb0="00000000" w:usb1="00000000" w:usb2="00000016" w:usb3="00000000" w:csb0="0004001F"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decorative"/>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仿宋_GB2312">
    <w:panose1 w:val="02010609030101010101"/>
    <w:charset w:val="86"/>
    <w:family w:val="swiss"/>
    <w:pitch w:val="default"/>
    <w:sig w:usb0="00000001" w:usb1="080E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方正楷体简体">
    <w:panose1 w:val="02010601030101010101"/>
    <w:charset w:val="86"/>
    <w:family w:val="auto"/>
    <w:pitch w:val="default"/>
    <w:sig w:usb0="00000001" w:usb1="080E0000" w:usb2="00000000" w:usb3="00000000" w:csb0="00040000" w:csb1="00000000"/>
  </w:font>
  <w:font w:name="仿宋_GB2312">
    <w:panose1 w:val="02010609030101010101"/>
    <w:charset w:val="86"/>
    <w:family w:val="decorative"/>
    <w:pitch w:val="default"/>
    <w:sig w:usb0="00000001" w:usb1="080E0000" w:usb2="00000000" w:usb3="00000000" w:csb0="00040000" w:csb1="00000000"/>
  </w:font>
  <w:font w:name="Microsoft YaHei UI">
    <w:altName w:val="微软雅黑"/>
    <w:panose1 w:val="00000000000000000000"/>
    <w:charset w:val="86"/>
    <w:family w:val="roman"/>
    <w:pitch w:val="default"/>
    <w:sig w:usb0="00000000" w:usb1="00000000" w:usb2="00000016" w:usb3="00000000" w:csb0="0004001F" w:csb1="00000000"/>
  </w:font>
  <w:font w:name="微软雅黑">
    <w:panose1 w:val="020B0503020204020204"/>
    <w:charset w:val="86"/>
    <w:family w:val="roman"/>
    <w:pitch w:val="default"/>
    <w:sig w:usb0="80000287" w:usb1="280F3C52" w:usb2="00000016" w:usb3="00000000" w:csb0="0004001F" w:csb1="00000000"/>
  </w:font>
  <w:font w:name="Microsoft YaHei UI">
    <w:altName w:val="微软雅黑"/>
    <w:panose1 w:val="00000000000000000000"/>
    <w:charset w:val="86"/>
    <w:family w:val="modern"/>
    <w:pitch w:val="default"/>
    <w:sig w:usb0="00000000" w:usb1="00000000" w:usb2="00000016" w:usb3="00000000" w:csb0="0004001F" w:csb1="00000000"/>
  </w:font>
  <w:font w:name="微软雅黑">
    <w:panose1 w:val="020B0503020204020204"/>
    <w:charset w:val="86"/>
    <w:family w:val="modern"/>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Microsoft YaHei UI">
    <w:altName w:val="微软雅黑"/>
    <w:panose1 w:val="00000000000000000000"/>
    <w:charset w:val="86"/>
    <w:family w:val="swiss"/>
    <w:pitch w:val="default"/>
    <w:sig w:usb0="00000000" w:usb1="00000000" w:usb2="00000016" w:usb3="00000000" w:csb0="0004001F"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decorative"/>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
    <w:panose1 w:val="02010609060101010101"/>
    <w:charset w:val="86"/>
    <w:family w:val="swiss"/>
    <w:pitch w:val="default"/>
    <w:sig w:usb0="800002BF" w:usb1="38CF7CFA" w:usb2="00000016" w:usb3="00000000" w:csb0="00040001" w:csb1="00000000"/>
  </w:font>
  <w:font w:name="Calibri Light">
    <w:altName w:val="Calibri"/>
    <w:panose1 w:val="020F0302020204030204"/>
    <w:charset w:val="00"/>
    <w:family w:val="swiss"/>
    <w:pitch w:val="default"/>
    <w:sig w:usb0="00000000" w:usb1="00000000" w:usb2="00000009" w:usb3="00000000" w:csb0="000001FF" w:csb1="00000000"/>
  </w:font>
  <w:font w:name="黑体">
    <w:panose1 w:val="02010609060101010101"/>
    <w:charset w:val="86"/>
    <w:family w:val="modern"/>
    <w:pitch w:val="default"/>
    <w:sig w:usb0="800002BF" w:usb1="38CF7CFA" w:usb2="00000016" w:usb3="00000000" w:csb0="00040001" w:csb1="00000000"/>
  </w:font>
  <w:font w:name="Calibri Light">
    <w:altName w:val="Calibri"/>
    <w:panose1 w:val="020F0302020204030204"/>
    <w:charset w:val="00"/>
    <w:family w:val="decorative"/>
    <w:pitch w:val="default"/>
    <w:sig w:usb0="00000000" w:usb1="00000000" w:usb2="00000009" w:usb3="00000000" w:csb0="000001FF" w:csb1="00000000"/>
  </w:font>
  <w:font w:name="黑体">
    <w:panose1 w:val="02010609060101010101"/>
    <w:charset w:val="86"/>
    <w:family w:val="swiss"/>
    <w:pitch w:val="default"/>
    <w:sig w:usb0="800002BF" w:usb1="38CF7CFA" w:usb2="00000016" w:usb3="00000000" w:csb0="00040001" w:csb1="00000000"/>
  </w:font>
  <w:font w:name="Calibri Light">
    <w:altName w:val="Calibri"/>
    <w:panose1 w:val="020F0302020204030204"/>
    <w:charset w:val="00"/>
    <w:family w:val="roman"/>
    <w:pitch w:val="default"/>
    <w:sig w:usb0="00000000" w:usb1="00000000" w:usb2="00000009" w:usb3="00000000" w:csb0="000001FF" w:csb1="00000000"/>
  </w:font>
  <w:font w:name="黑体">
    <w:panose1 w:val="02010609060101010101"/>
    <w:charset w:val="86"/>
    <w:family w:val="decorative"/>
    <w:pitch w:val="default"/>
    <w:sig w:usb0="800002BF" w:usb1="38CF7CFA" w:usb2="00000016" w:usb3="00000000" w:csb0="00040001" w:csb1="00000000"/>
  </w:font>
  <w:font w:name="Calibri Light">
    <w:altName w:val="Calibri"/>
    <w:panose1 w:val="020F0302020204030204"/>
    <w:charset w:val="00"/>
    <w:family w:val="modern"/>
    <w:pitch w:val="default"/>
    <w:sig w:usb0="00000000" w:usb1="00000000" w:usb2="00000009" w:usb3="00000000" w:csb0="000001FF" w:csb1="00000000"/>
  </w:font>
  <w:font w:name="等线">
    <w:altName w:val="Segoe Print"/>
    <w:panose1 w:val="00000000000000000000"/>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楷体">
    <w:panose1 w:val="02010609060101010101"/>
    <w:charset w:val="86"/>
    <w:family w:val="swiss"/>
    <w:pitch w:val="default"/>
    <w:sig w:usb0="800002BF" w:usb1="38CF7CFA" w:usb2="00000016" w:usb3="00000000" w:csb0="00040001" w:csb1="00000000"/>
  </w:font>
  <w:font w:name="楷体">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912136"/>
    </w:sdtPr>
    <w:sdtContent>
      <w:p>
        <w:pPr>
          <w:pStyle w:val="7"/>
          <w:jc w:val="center"/>
        </w:pPr>
        <w:r>
          <w:fldChar w:fldCharType="begin"/>
        </w:r>
        <w:r>
          <w:instrText xml:space="preserve"> PAGE   \* MERGEFORMAT </w:instrText>
        </w:r>
        <w:r>
          <w:fldChar w:fldCharType="separate"/>
        </w:r>
        <w:r>
          <w:rPr>
            <w:lang w:val="zh-CN"/>
          </w:rPr>
          <w:t>1</w:t>
        </w:r>
        <w:r>
          <w:rPr>
            <w:lang w:val="zh-CN"/>
          </w:rPr>
          <w:fldChar w:fldCharType="end"/>
        </w:r>
      </w:p>
    </w:sdtContent>
  </w:sdt>
  <w:p>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22E26"/>
    <w:rsid w:val="00017315"/>
    <w:rsid w:val="00057CC5"/>
    <w:rsid w:val="00057F40"/>
    <w:rsid w:val="000651B1"/>
    <w:rsid w:val="00097B33"/>
    <w:rsid w:val="000B351A"/>
    <w:rsid w:val="000D1828"/>
    <w:rsid w:val="002067F7"/>
    <w:rsid w:val="00213920"/>
    <w:rsid w:val="00267999"/>
    <w:rsid w:val="00276788"/>
    <w:rsid w:val="002C5412"/>
    <w:rsid w:val="00335D0D"/>
    <w:rsid w:val="00343900"/>
    <w:rsid w:val="00350617"/>
    <w:rsid w:val="00373059"/>
    <w:rsid w:val="004E2450"/>
    <w:rsid w:val="0050608C"/>
    <w:rsid w:val="00526AA6"/>
    <w:rsid w:val="005C56F5"/>
    <w:rsid w:val="005E2E24"/>
    <w:rsid w:val="00602902"/>
    <w:rsid w:val="00604376"/>
    <w:rsid w:val="0062180B"/>
    <w:rsid w:val="00633C13"/>
    <w:rsid w:val="00645594"/>
    <w:rsid w:val="00680A25"/>
    <w:rsid w:val="00736992"/>
    <w:rsid w:val="00747E7F"/>
    <w:rsid w:val="007860F0"/>
    <w:rsid w:val="007A17E5"/>
    <w:rsid w:val="007A539D"/>
    <w:rsid w:val="00833994"/>
    <w:rsid w:val="008C7621"/>
    <w:rsid w:val="0091314D"/>
    <w:rsid w:val="00917B17"/>
    <w:rsid w:val="00A22E26"/>
    <w:rsid w:val="00A461E2"/>
    <w:rsid w:val="00AB35FC"/>
    <w:rsid w:val="00AD19DF"/>
    <w:rsid w:val="00AD378C"/>
    <w:rsid w:val="00B119EB"/>
    <w:rsid w:val="00B5494B"/>
    <w:rsid w:val="00B64D65"/>
    <w:rsid w:val="00B74C16"/>
    <w:rsid w:val="00B96C08"/>
    <w:rsid w:val="00CB4902"/>
    <w:rsid w:val="00D321DA"/>
    <w:rsid w:val="00D80B6D"/>
    <w:rsid w:val="00DC552F"/>
    <w:rsid w:val="00E97512"/>
    <w:rsid w:val="00EB2F7C"/>
    <w:rsid w:val="00EE379A"/>
    <w:rsid w:val="00EE67BC"/>
    <w:rsid w:val="00F4259F"/>
    <w:rsid w:val="00F62D5E"/>
    <w:rsid w:val="00FE78B1"/>
    <w:rsid w:val="00FF454B"/>
    <w:rsid w:val="04C60134"/>
    <w:rsid w:val="08B77C13"/>
    <w:rsid w:val="170E14AF"/>
    <w:rsid w:val="22591B09"/>
    <w:rsid w:val="2593518A"/>
    <w:rsid w:val="49760969"/>
    <w:rsid w:val="632D4A46"/>
    <w:rsid w:val="635D7D08"/>
    <w:rsid w:val="65D3019C"/>
    <w:rsid w:val="719921EC"/>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等线" w:hAnsi="等线" w:eastAsia="等线" w:cs="宋体"/>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宋体"/>
      <w:kern w:val="2"/>
      <w:sz w:val="21"/>
      <w:szCs w:val="22"/>
      <w:lang w:val="en-US" w:eastAsia="zh-CN" w:bidi="ar-SA"/>
    </w:rPr>
  </w:style>
  <w:style w:type="paragraph" w:styleId="2">
    <w:name w:val="heading 1"/>
    <w:basedOn w:val="1"/>
    <w:next w:val="1"/>
    <w:link w:val="12"/>
    <w:qFormat/>
    <w:uiPriority w:val="9"/>
    <w:pPr>
      <w:spacing w:line="560" w:lineRule="exact"/>
      <w:ind w:firstLine="200" w:firstLineChars="200"/>
      <w:jc w:val="center"/>
      <w:outlineLvl w:val="0"/>
    </w:pPr>
    <w:rPr>
      <w:rFonts w:ascii="Calibri" w:hAnsi="Calibri" w:eastAsia="方正小标宋_GBK" w:cs="Times New Roman"/>
      <w:b/>
      <w:bCs/>
      <w:kern w:val="44"/>
      <w:sz w:val="36"/>
      <w:szCs w:val="44"/>
    </w:rPr>
  </w:style>
  <w:style w:type="paragraph" w:styleId="3">
    <w:name w:val="heading 3"/>
    <w:basedOn w:val="1"/>
    <w:next w:val="1"/>
    <w:link w:val="13"/>
    <w:qFormat/>
    <w:uiPriority w:val="9"/>
    <w:pPr>
      <w:keepNext/>
      <w:keepLines/>
      <w:spacing w:before="260" w:after="260" w:line="416" w:lineRule="auto"/>
      <w:outlineLvl w:val="2"/>
    </w:pPr>
    <w:rPr>
      <w:b/>
      <w:bCs/>
      <w:sz w:val="32"/>
      <w:szCs w:val="32"/>
    </w:rPr>
  </w:style>
  <w:style w:type="paragraph" w:styleId="4">
    <w:name w:val="heading 4"/>
    <w:basedOn w:val="1"/>
    <w:next w:val="1"/>
    <w:link w:val="14"/>
    <w:qFormat/>
    <w:uiPriority w:val="9"/>
    <w:pPr>
      <w:keepNext/>
      <w:keepLines/>
      <w:spacing w:before="280" w:after="290" w:line="376" w:lineRule="auto"/>
      <w:outlineLvl w:val="3"/>
    </w:pPr>
    <w:rPr>
      <w:rFonts w:ascii="等线 Light" w:hAnsi="等线 Light" w:eastAsia="等线 Light"/>
      <w:b/>
      <w:bCs/>
      <w:sz w:val="28"/>
      <w:szCs w:val="28"/>
    </w:rPr>
  </w:style>
  <w:style w:type="character" w:default="1" w:styleId="9">
    <w:name w:val="Default Paragraph Font"/>
    <w:unhideWhenUsed/>
    <w:qFormat/>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5">
    <w:name w:val="Body Text"/>
    <w:basedOn w:val="1"/>
    <w:qFormat/>
    <w:uiPriority w:val="0"/>
    <w:pPr>
      <w:jc w:val="center"/>
    </w:pPr>
    <w:rPr>
      <w:rFonts w:ascii="Times New Roman" w:eastAsia="宋体"/>
      <w:sz w:val="24"/>
    </w:rPr>
  </w:style>
  <w:style w:type="paragraph" w:styleId="6">
    <w:name w:val="Body Text Indent 2"/>
    <w:basedOn w:val="1"/>
    <w:qFormat/>
    <w:uiPriority w:val="0"/>
    <w:pPr>
      <w:spacing w:after="120" w:line="480" w:lineRule="auto"/>
      <w:ind w:left="420" w:leftChars="200"/>
    </w:pPr>
  </w:style>
  <w:style w:type="paragraph" w:styleId="7">
    <w:name w:val="footer"/>
    <w:basedOn w:val="1"/>
    <w:link w:val="18"/>
    <w:qFormat/>
    <w:uiPriority w:val="99"/>
    <w:pPr>
      <w:tabs>
        <w:tab w:val="center" w:pos="4153"/>
        <w:tab w:val="right" w:pos="8306"/>
      </w:tabs>
      <w:snapToGrid w:val="0"/>
      <w:jc w:val="left"/>
    </w:pPr>
    <w:rPr>
      <w:sz w:val="18"/>
      <w:szCs w:val="18"/>
    </w:rPr>
  </w:style>
  <w:style w:type="paragraph" w:styleId="8">
    <w:name w:val="header"/>
    <w:basedOn w:val="1"/>
    <w:link w:val="17"/>
    <w:qFormat/>
    <w:uiPriority w:val="99"/>
    <w:pPr>
      <w:pBdr>
        <w:bottom w:val="single" w:color="auto" w:sz="6" w:space="1"/>
      </w:pBdr>
      <w:tabs>
        <w:tab w:val="center" w:pos="4153"/>
        <w:tab w:val="right" w:pos="8306"/>
      </w:tabs>
      <w:snapToGrid w:val="0"/>
      <w:jc w:val="center"/>
    </w:pPr>
    <w:rPr>
      <w:sz w:val="18"/>
      <w:szCs w:val="18"/>
    </w:rPr>
  </w:style>
  <w:style w:type="character" w:styleId="10">
    <w:name w:val="Hyperlink"/>
    <w:basedOn w:val="9"/>
    <w:qFormat/>
    <w:uiPriority w:val="99"/>
    <w:rPr>
      <w:color w:val="0563C1"/>
      <w:u w:val="single"/>
    </w:rPr>
  </w:style>
  <w:style w:type="character" w:customStyle="1" w:styleId="12">
    <w:name w:val="标题 1 字符"/>
    <w:basedOn w:val="9"/>
    <w:link w:val="2"/>
    <w:qFormat/>
    <w:uiPriority w:val="9"/>
    <w:rPr>
      <w:rFonts w:ascii="Calibri" w:hAnsi="Calibri" w:eastAsia="方正小标宋_GBK" w:cs="Times New Roman"/>
      <w:b/>
      <w:bCs/>
      <w:kern w:val="44"/>
      <w:sz w:val="36"/>
      <w:szCs w:val="44"/>
    </w:rPr>
  </w:style>
  <w:style w:type="character" w:customStyle="1" w:styleId="13">
    <w:name w:val="标题 3 字符"/>
    <w:basedOn w:val="9"/>
    <w:link w:val="3"/>
    <w:qFormat/>
    <w:uiPriority w:val="9"/>
    <w:rPr>
      <w:b/>
      <w:bCs/>
      <w:sz w:val="32"/>
      <w:szCs w:val="32"/>
    </w:rPr>
  </w:style>
  <w:style w:type="character" w:customStyle="1" w:styleId="14">
    <w:name w:val="标题 4 字符"/>
    <w:basedOn w:val="9"/>
    <w:link w:val="4"/>
    <w:qFormat/>
    <w:uiPriority w:val="9"/>
    <w:rPr>
      <w:rFonts w:ascii="等线 Light" w:hAnsi="等线 Light" w:eastAsia="等线 Light" w:cs="宋体"/>
      <w:b/>
      <w:bCs/>
      <w:sz w:val="28"/>
      <w:szCs w:val="28"/>
    </w:rPr>
  </w:style>
  <w:style w:type="paragraph" w:customStyle="1" w:styleId="15">
    <w:name w:val="List Paragraph"/>
    <w:basedOn w:val="1"/>
    <w:qFormat/>
    <w:uiPriority w:val="34"/>
    <w:pPr>
      <w:ind w:firstLine="420" w:firstLineChars="200"/>
    </w:pPr>
  </w:style>
  <w:style w:type="character" w:customStyle="1" w:styleId="16">
    <w:name w:val="未处理的提及1"/>
    <w:basedOn w:val="9"/>
    <w:qFormat/>
    <w:uiPriority w:val="99"/>
    <w:rPr>
      <w:color w:val="605E5C"/>
      <w:shd w:val="clear" w:color="auto" w:fill="E1DFDD"/>
    </w:rPr>
  </w:style>
  <w:style w:type="character" w:customStyle="1" w:styleId="17">
    <w:name w:val="页眉 字符"/>
    <w:basedOn w:val="9"/>
    <w:link w:val="8"/>
    <w:qFormat/>
    <w:uiPriority w:val="99"/>
    <w:rPr>
      <w:sz w:val="18"/>
      <w:szCs w:val="18"/>
    </w:rPr>
  </w:style>
  <w:style w:type="character" w:customStyle="1" w:styleId="18">
    <w:name w:val="页脚 字符"/>
    <w:basedOn w:val="9"/>
    <w:link w:val="7"/>
    <w:qFormat/>
    <w:uiPriority w:val="99"/>
    <w:rPr>
      <w:sz w:val="18"/>
      <w:szCs w:val="18"/>
    </w:rPr>
  </w:style>
  <w:style w:type="paragraph" w:customStyle="1" w:styleId="19">
    <w:name w:val="&quot;Default&quot;"/>
    <w:qFormat/>
    <w:uiPriority w:val="0"/>
    <w:pPr>
      <w:widowControl w:val="0"/>
      <w:autoSpaceDE w:val="0"/>
      <w:autoSpaceDN w:val="0"/>
      <w:adjustRightInd w:val="0"/>
    </w:pPr>
    <w:rPr>
      <w:rFonts w:ascii="方正仿宋_GBK" w:hAnsi="Times New Roman" w:eastAsia="方正仿宋_GBK" w:cs="方正仿宋_GBK"/>
      <w:color w:val="000000"/>
      <w:kern w:val="2"/>
      <w:sz w:val="24"/>
      <w:szCs w:val="24"/>
      <w:lang w:val="en-US" w:eastAsia="zh-CN" w:bidi="ar-SA"/>
    </w:rPr>
  </w:style>
  <w:style w:type="paragraph" w:customStyle="1" w:styleId="20">
    <w:name w:val="&quot;4&quot;"/>
    <w:qFormat/>
    <w:uiPriority w:val="0"/>
    <w:pPr>
      <w:widowControl w:val="0"/>
      <w:spacing w:line="560" w:lineRule="atLeast"/>
      <w:ind w:firstLine="660" w:firstLineChars="200"/>
    </w:pPr>
    <w:rPr>
      <w:rFonts w:ascii="等线" w:hAnsi="等线" w:eastAsia="仿宋_GB2312" w:cs="宋体"/>
      <w:color w:val="000000"/>
      <w:spacing w:val="5"/>
      <w:kern w:val="2"/>
      <w:sz w:val="32"/>
      <w:szCs w:val="28"/>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369</Words>
  <Characters>2106</Characters>
  <Lines>17</Lines>
  <Paragraphs>4</Paragraphs>
  <ScaleCrop>false</ScaleCrop>
  <LinksUpToDate>false</LinksUpToDate>
  <CharactersWithSpaces>2471</CharactersWithSpaces>
  <Application>WPS Office_10.8.0.5391_F1E327BC-269C-435d-A152-05C5408002CA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2019-10-09T03:44:00Z</dcterms:created>
  <dc:creator>hp</dc:creator>
  <cp:lastModifiedBy>xzj</cp:lastModifiedBy>
  <dcterms:modified xsi:type="dcterms:W3CDTF">2019-12-05T09:13:55Z</dcterms:modified>
  <cp:revision>225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