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20公里级高寒高海拔地区公路隧道工程建设与运营关键技术研究申报指南</w:t>
      </w:r>
    </w:p>
    <w:p>
      <w:pPr>
        <w:spacing w:after="0" w:line="560" w:lineRule="exact"/>
        <w:ind w:left="0" w:firstLine="640" w:firstLineChars="200"/>
        <w:rPr>
          <w:rFonts w:hint="eastAsia" w:ascii="黑体" w:hAnsi="黑体" w:eastAsia="黑体" w:cs="黑体"/>
          <w:sz w:val="32"/>
          <w:szCs w:val="32"/>
        </w:rPr>
      </w:pPr>
    </w:p>
    <w:p>
      <w:pPr>
        <w:spacing w:after="0" w:line="560" w:lineRule="exact"/>
        <w:ind w:left="0" w:firstLine="640" w:firstLineChars="200"/>
        <w:rPr>
          <w:rFonts w:ascii="黑体" w:hAnsi="黑体" w:eastAsia="黑体" w:cs="黑体"/>
          <w:sz w:val="32"/>
          <w:szCs w:val="32"/>
        </w:rPr>
      </w:pPr>
      <w:r>
        <w:rPr>
          <w:rFonts w:hint="eastAsia" w:ascii="黑体" w:hAnsi="黑体" w:eastAsia="黑体" w:cs="黑体"/>
          <w:sz w:val="32"/>
          <w:szCs w:val="32"/>
        </w:rPr>
        <w:t>一、项目目标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针对20公里级高寒高海拔地区公路隧道施工及其TBM工艺关键技术研究难题，成立专门联合攻关小组，在国内外现有研究成果的基础上，综合采用理论分析、数值模拟、现场监测、室内外试验及工程验证等多种手段解决“TBM穿越断层破碎带卡机风险预测及脱困技术、高寒高海拔地区深埋长大隧道TBM法快速施工关键技术、超特长隧道施工通风及难度控制技术、高海拔地区大直径、深竖井施工技术等施工难题”。填补我国内在高原高海拔20公里级以上隧道设计、施工的技术空缺。开展20公里级隧道示范工程的建设，确保工程的快速建成和安全运营，为加快新疆路网建设提供技术支持，促进新疆社会经济发展。</w:t>
      </w:r>
    </w:p>
    <w:p>
      <w:pPr>
        <w:spacing w:after="0" w:line="560" w:lineRule="exact"/>
        <w:ind w:left="0" w:firstLine="640" w:firstLineChars="200"/>
        <w:rPr>
          <w:rFonts w:ascii="黑体" w:hAnsi="黑体" w:eastAsia="黑体" w:cs="黑体"/>
          <w:sz w:val="32"/>
          <w:szCs w:val="32"/>
        </w:rPr>
      </w:pPr>
      <w:r>
        <w:rPr>
          <w:rFonts w:hint="eastAsia" w:ascii="黑体" w:hAnsi="黑体" w:eastAsia="黑体" w:cs="黑体"/>
          <w:sz w:val="32"/>
          <w:szCs w:val="32"/>
        </w:rPr>
        <w:t>二、项目任务</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任务1：超长距离水平定向取芯钻在隧道勘察、超前地质预报中的应用研究及装备研发</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（1）水平钻机能力、精度、功效及配套的感知装备技术指标研究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（2）超长距离钻芯数据的采集及分析方法</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（3）基于水平定向取芯钻的围岩分级方法</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任务2：基于地热利用的高寒隧道绿色保温技术研究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（1）地热能的传递技术</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（2）地热能的应用技术</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 xml:space="preserve">任务3：隧道穿越博—阿断裂支护机理与结构设计技术研究  </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（1）超长公路山岭隧道穿越活动性断层支护结构设计理论</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（2）穿越活动性断层隧道工程抗断设计方法</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（3）穿越活动性断层隧道高性能减震材料与减震体系性能评价研究</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任务4：隧道信息化智能化建设与运管技术应用研究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（1）长距离</w:t>
      </w:r>
      <w:r>
        <w:rPr>
          <w:rFonts w:ascii="方正仿宋_GBK" w:hAnsi="方正仿宋_GBK" w:eastAsia="方正仿宋_GBK" w:cs="方正仿宋_GBK"/>
          <w:sz w:val="32"/>
          <w:szCs w:val="32"/>
        </w:rPr>
        <w:t>TBM隧道围岩感知与智能掘进技术</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（2）基于云技术、物联网、大数据挖掘的结构健康监测与养护决策技术研究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ascii="方正仿宋_GBK" w:hAnsi="方正仿宋_GBK" w:eastAsia="方正仿宋_GBK" w:cs="方正仿宋_GBK"/>
          <w:sz w:val="32"/>
          <w:szCs w:val="32"/>
        </w:rPr>
        <w:t>隧道内车辆驾驶行为与安全预警体系</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w:t>
      </w:r>
      <w:r>
        <w:rPr>
          <w:rFonts w:ascii="方正仿宋_GBK" w:hAnsi="方正仿宋_GBK" w:eastAsia="方正仿宋_GBK" w:cs="方正仿宋_GBK"/>
          <w:sz w:val="32"/>
          <w:szCs w:val="32"/>
        </w:rPr>
        <w:t>基于交互式通信技术的超长隧道运营安全管理平台</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任务5：</w:t>
      </w:r>
      <w:r>
        <w:rPr>
          <w:rFonts w:ascii="方正仿宋_GBK" w:hAnsi="方正仿宋_GBK" w:eastAsia="方正仿宋_GBK" w:cs="方正仿宋_GBK"/>
          <w:b/>
          <w:bCs/>
          <w:sz w:val="32"/>
          <w:szCs w:val="32"/>
        </w:rPr>
        <w:t>TBM+钻爆组合工法快速安全施工设计关键技术研究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（1）超长隧道</w:t>
      </w:r>
      <w:r>
        <w:rPr>
          <w:rFonts w:ascii="方正仿宋_GBK" w:hAnsi="方正仿宋_GBK" w:eastAsia="方正仿宋_GBK" w:cs="方正仿宋_GBK"/>
          <w:sz w:val="32"/>
          <w:szCs w:val="32"/>
        </w:rPr>
        <w:t>TBM+钻爆多工作面快速施工组织研究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（2）公路隧道不良地质</w:t>
      </w:r>
      <w:r>
        <w:rPr>
          <w:rFonts w:ascii="方正仿宋_GBK" w:hAnsi="方正仿宋_GBK" w:eastAsia="方正仿宋_GBK" w:cs="方正仿宋_GBK"/>
          <w:sz w:val="32"/>
          <w:szCs w:val="32"/>
        </w:rPr>
        <w:t>TBM掘进技术</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（3）公路</w:t>
      </w:r>
      <w:r>
        <w:rPr>
          <w:rFonts w:ascii="方正仿宋_GBK" w:hAnsi="方正仿宋_GBK" w:eastAsia="方正仿宋_GBK" w:cs="方正仿宋_GBK"/>
          <w:sz w:val="32"/>
          <w:szCs w:val="32"/>
        </w:rPr>
        <w:t>TBM隧道围岩分级及支护体系</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（4）隧道信息化智能爆破关键技术研究</w:t>
      </w:r>
    </w:p>
    <w:p>
      <w:pPr>
        <w:spacing w:after="0" w:line="560" w:lineRule="exact"/>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任务6：高寒高海拔公路隧道竖井施工关键技术研究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（1）高寒高海拔地区掘衬混合作业快速施工技术</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（2）高寒高海拔地区竖井施工通风及环境控制技术研究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（3）深大竖井穿越富水断层破碎带地表深部注浆技术研究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（4）高寒高海拔地区深大竖井施工定额研究</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任务7：冰川生态脆弱区高速公路绿色施工关键技术研究及示范</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（1）环境敏感区内高速公路工程环水保问题的综合解决措施研究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（2）超长隧道多工作面绿色开挖方法和施工扬尘抑制技术研究</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（3）环境敏感区高速公路超长隧道开挖废弃岩土体绿色利用关键技术</w:t>
      </w:r>
    </w:p>
    <w:p>
      <w:pPr>
        <w:spacing w:after="0" w:line="560" w:lineRule="exact"/>
        <w:ind w:left="0" w:firstLine="640" w:firstLineChars="200"/>
        <w:rPr>
          <w:rFonts w:ascii="黑体" w:hAnsi="黑体" w:eastAsia="黑体" w:cs="黑体"/>
          <w:sz w:val="32"/>
          <w:szCs w:val="32"/>
        </w:rPr>
      </w:pPr>
      <w:r>
        <w:rPr>
          <w:rFonts w:hint="eastAsia" w:ascii="黑体" w:hAnsi="黑体" w:eastAsia="黑体" w:cs="黑体"/>
          <w:sz w:val="32"/>
          <w:szCs w:val="32"/>
        </w:rPr>
        <w:t>三、考核指标</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约束性指标: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（1）提出高海拔寒区公路山岭隧道破碎围岩冻胀机制及地热能利用方法。</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（2）提出穿越活动性断层隧道工程抗断设计方法。</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（3）研制出大断面隧道的水平钻机能力、精度、功效及配套的感知装备技术指标。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（4）建立交互式通信技术的超长隧道运营安全管理平台。</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（5）编制高寒高海拔地区深大竖井施工定额。</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（6）成果目标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获得发明专利8项；获得省部级工法10项；编制高寒高海拔研究报告7份</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国内外公开发表学术论文25篇以上；获得软件著作权3项；科技查新报告1份。</w:t>
      </w:r>
    </w:p>
    <w:p>
      <w:pPr>
        <w:spacing w:after="0" w:line="560" w:lineRule="exact"/>
        <w:ind w:left="0" w:firstLine="64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预期性指标: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（1）提出超长公路山岭隧道穿越活动性断层支护结构设计方法。</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为复杂地质条件下超长隧道工程风险识别及防控提供科学依据，成果运用后能大大减小隧道施工时发生安全事故的概率，预计将隧道事故发生概率降低10～30%。保证隧道建成运营后交通安全事故概率降低30%以上。</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提出先进的监测手段，通过监测数据，控制洞内收敛、沉降等参数，并进行经济对比分析，优化出先进的施工工法，通过选用使用新材料、新工艺提高刀盘刀具性能。采用精确传感器监测围岩变形情况，通过监测反馈在相应时间段对TBM进行复机。</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研究出喷射混凝土减少回弹和掉块提高其技术经济指标，二衬自密实混凝土施工技术，结合当前互联网+物联网+开发研究出高寒山区超长隧道风险预控、应急救援系统和体系。提出场地的温度场对环境的影响。对隧道通风做出模型分析演示。</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提出高寒高海拔大埋深超长公路隧道隧道竖井防寒保暖设计方法，预计可降低能耗5%。提出隧道竖井超前地质预报技术及方法，将地质精准探测率提高至80%以上。提出高寒高海拔大埋深公路隧道隧道竖井竖井施工成套装备，预计可提高施工效率10%。保障隧道竖井施工安全、高效运营。</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（5）研发混杂多维数据的信息融合和施工可视化信息协同管理技术，提高隧道工程的施工建设和信息化管理效率5%以上。</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（6）提出生态薄弱地区施工生态环境保护方法与恢复技术，工程区域生态恢复覆盖率达到95%，完工后水源达到二级保护区要求。</w:t>
      </w:r>
    </w:p>
    <w:p>
      <w:pPr>
        <w:spacing w:after="0" w:line="560" w:lineRule="exact"/>
        <w:ind w:left="0" w:firstLine="640" w:firstLineChars="200"/>
        <w:rPr>
          <w:rFonts w:ascii="黑体" w:hAnsi="黑体" w:eastAsia="黑体" w:cs="黑体"/>
          <w:sz w:val="32"/>
          <w:szCs w:val="32"/>
        </w:rPr>
      </w:pPr>
      <w:r>
        <w:rPr>
          <w:rFonts w:hint="eastAsia" w:ascii="黑体" w:hAnsi="黑体" w:eastAsia="黑体" w:cs="黑体"/>
          <w:sz w:val="32"/>
          <w:szCs w:val="32"/>
        </w:rPr>
        <w:t>四、项目申报要求</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（1）以企业为申报主体，鼓励产学研用联合申报。</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（2）项目整体申报须覆盖全部考核指标。</w:t>
      </w:r>
    </w:p>
    <w:p>
      <w:pPr>
        <w:spacing w:after="0" w:line="560" w:lineRule="exact"/>
        <w:ind w:left="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（3）财政经费与企业自筹经费比例不低于1:3。</w:t>
      </w:r>
    </w:p>
    <w:p>
      <w:pPr>
        <w:spacing w:after="0" w:line="560" w:lineRule="exact"/>
        <w:ind w:left="560" w:leftChars="200"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br w:type="page"/>
      </w:r>
    </w:p>
    <w:p>
      <w:pPr>
        <w:ind w:left="0" w:leftChars="0" w:firstLine="0" w:firstLineChars="0"/>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申报指南编写组专家</w:t>
      </w:r>
    </w:p>
    <w:tbl>
      <w:tblPr>
        <w:tblStyle w:val="5"/>
        <w:tblW w:w="928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3"/>
        <w:gridCol w:w="1092"/>
        <w:gridCol w:w="5604"/>
        <w:gridCol w:w="17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jc w:val="center"/>
        </w:trPr>
        <w:tc>
          <w:tcPr>
            <w:tcW w:w="873" w:type="dxa"/>
            <w:vAlign w:val="center"/>
          </w:tcPr>
          <w:p>
            <w:pPr>
              <w:spacing w:after="0" w:line="240" w:lineRule="auto"/>
              <w:ind w:left="0" w:firstLine="0"/>
              <w:jc w:val="center"/>
              <w:rPr>
                <w:rFonts w:ascii="方正仿宋_GBK" w:hAnsi="方正仿宋_GBK" w:eastAsia="方正仿宋_GBK" w:cs="方正仿宋_GBK"/>
                <w:b/>
                <w:bCs/>
                <w:szCs w:val="28"/>
              </w:rPr>
            </w:pPr>
            <w:r>
              <w:rPr>
                <w:rFonts w:hint="eastAsia" w:ascii="方正仿宋_GBK" w:hAnsi="方正仿宋_GBK" w:eastAsia="方正仿宋_GBK" w:cs="方正仿宋_GBK"/>
                <w:b/>
                <w:bCs/>
                <w:szCs w:val="28"/>
              </w:rPr>
              <w:t>序号</w:t>
            </w:r>
          </w:p>
        </w:tc>
        <w:tc>
          <w:tcPr>
            <w:tcW w:w="1092" w:type="dxa"/>
            <w:vAlign w:val="center"/>
          </w:tcPr>
          <w:p>
            <w:pPr>
              <w:spacing w:after="0" w:line="240" w:lineRule="auto"/>
              <w:ind w:left="0" w:firstLine="0"/>
              <w:jc w:val="center"/>
              <w:rPr>
                <w:rFonts w:ascii="方正仿宋_GBK" w:hAnsi="方正仿宋_GBK" w:eastAsia="方正仿宋_GBK" w:cs="方正仿宋_GBK"/>
                <w:b/>
                <w:bCs/>
                <w:szCs w:val="28"/>
              </w:rPr>
            </w:pPr>
            <w:r>
              <w:rPr>
                <w:rFonts w:hint="eastAsia" w:ascii="方正仿宋_GBK" w:hAnsi="方正仿宋_GBK" w:eastAsia="方正仿宋_GBK" w:cs="方正仿宋_GBK"/>
                <w:b/>
                <w:bCs/>
                <w:szCs w:val="28"/>
              </w:rPr>
              <w:t>姓  名</w:t>
            </w:r>
          </w:p>
        </w:tc>
        <w:tc>
          <w:tcPr>
            <w:tcW w:w="5604" w:type="dxa"/>
            <w:vAlign w:val="center"/>
          </w:tcPr>
          <w:p>
            <w:pPr>
              <w:spacing w:after="0" w:line="240" w:lineRule="auto"/>
              <w:ind w:left="0" w:firstLine="0"/>
              <w:jc w:val="center"/>
              <w:rPr>
                <w:rFonts w:ascii="方正仿宋_GBK" w:hAnsi="方正仿宋_GBK" w:eastAsia="方正仿宋_GBK" w:cs="方正仿宋_GBK"/>
                <w:b/>
                <w:bCs/>
                <w:szCs w:val="28"/>
              </w:rPr>
            </w:pPr>
            <w:bookmarkStart w:id="0" w:name="_GoBack"/>
            <w:bookmarkEnd w:id="0"/>
            <w:r>
              <w:rPr>
                <w:rFonts w:hint="eastAsia" w:ascii="方正仿宋_GBK" w:hAnsi="方正仿宋_GBK" w:eastAsia="方正仿宋_GBK" w:cs="方正仿宋_GBK"/>
                <w:b/>
                <w:bCs/>
                <w:szCs w:val="28"/>
              </w:rPr>
              <w:t>单  位</w:t>
            </w:r>
          </w:p>
        </w:tc>
        <w:tc>
          <w:tcPr>
            <w:tcW w:w="1714" w:type="dxa"/>
            <w:vAlign w:val="center"/>
          </w:tcPr>
          <w:p>
            <w:pPr>
              <w:spacing w:after="0" w:line="240" w:lineRule="auto"/>
              <w:ind w:left="0" w:firstLine="0"/>
              <w:jc w:val="center"/>
              <w:rPr>
                <w:rFonts w:ascii="方正仿宋_GBK" w:hAnsi="方正仿宋_GBK" w:eastAsia="方正仿宋_GBK" w:cs="方正仿宋_GBK"/>
                <w:b/>
                <w:bCs/>
                <w:szCs w:val="28"/>
              </w:rPr>
            </w:pPr>
            <w:r>
              <w:rPr>
                <w:rFonts w:hint="eastAsia" w:ascii="方正仿宋_GBK" w:hAnsi="方正仿宋_GBK" w:eastAsia="方正仿宋_GBK" w:cs="方正仿宋_GBK"/>
                <w:b/>
                <w:bCs/>
                <w:szCs w:val="28"/>
              </w:rPr>
              <w:t>职称</w:t>
            </w:r>
            <w:r>
              <w:rPr>
                <w:rFonts w:hint="eastAsia" w:ascii="方正仿宋_GBK" w:hAnsi="方正仿宋_GBK" w:eastAsia="方正仿宋_GBK" w:cs="方正仿宋_GBK"/>
                <w:b/>
                <w:bCs/>
                <w:szCs w:val="28"/>
                <w:lang w:val="en-US" w:eastAsia="zh-CN"/>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jc w:val="center"/>
        </w:trPr>
        <w:tc>
          <w:tcPr>
            <w:tcW w:w="873"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1</w:t>
            </w:r>
          </w:p>
        </w:tc>
        <w:tc>
          <w:tcPr>
            <w:tcW w:w="1092"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陈湘生</w:t>
            </w:r>
          </w:p>
        </w:tc>
        <w:tc>
          <w:tcPr>
            <w:tcW w:w="560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深圳大学</w:t>
            </w:r>
          </w:p>
        </w:tc>
        <w:tc>
          <w:tcPr>
            <w:tcW w:w="171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工程院院士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06" w:hRule="atLeast"/>
          <w:jc w:val="center"/>
        </w:trPr>
        <w:tc>
          <w:tcPr>
            <w:tcW w:w="873"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2</w:t>
            </w:r>
          </w:p>
        </w:tc>
        <w:tc>
          <w:tcPr>
            <w:tcW w:w="1092"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蒋树屏</w:t>
            </w:r>
          </w:p>
        </w:tc>
        <w:tc>
          <w:tcPr>
            <w:tcW w:w="560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招商局重庆交通科研设计院有限公司</w:t>
            </w:r>
          </w:p>
        </w:tc>
        <w:tc>
          <w:tcPr>
            <w:tcW w:w="171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设计大师/教授级高工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jc w:val="center"/>
        </w:trPr>
        <w:tc>
          <w:tcPr>
            <w:tcW w:w="873"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3</w:t>
            </w:r>
          </w:p>
        </w:tc>
        <w:tc>
          <w:tcPr>
            <w:tcW w:w="1092"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陈卫忠</w:t>
            </w:r>
          </w:p>
        </w:tc>
        <w:tc>
          <w:tcPr>
            <w:tcW w:w="560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中科院武汉岩土力学研究所</w:t>
            </w:r>
          </w:p>
        </w:tc>
        <w:tc>
          <w:tcPr>
            <w:tcW w:w="1714" w:type="dxa"/>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0" w:hRule="atLeast"/>
          <w:jc w:val="center"/>
        </w:trPr>
        <w:tc>
          <w:tcPr>
            <w:tcW w:w="873" w:type="dxa"/>
            <w:tcBorders>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4</w:t>
            </w:r>
          </w:p>
        </w:tc>
        <w:tc>
          <w:tcPr>
            <w:tcW w:w="1092" w:type="dxa"/>
            <w:tcBorders>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袁勇</w:t>
            </w:r>
          </w:p>
        </w:tc>
        <w:tc>
          <w:tcPr>
            <w:tcW w:w="5604" w:type="dxa"/>
            <w:tcBorders>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同济大学</w:t>
            </w:r>
          </w:p>
        </w:tc>
        <w:tc>
          <w:tcPr>
            <w:tcW w:w="1714" w:type="dxa"/>
            <w:tcBorders>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8" w:hRule="atLeast"/>
          <w:jc w:val="center"/>
        </w:trPr>
        <w:tc>
          <w:tcPr>
            <w:tcW w:w="873"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5</w:t>
            </w:r>
          </w:p>
        </w:tc>
        <w:tc>
          <w:tcPr>
            <w:tcW w:w="1092"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刘泉声</w:t>
            </w:r>
          </w:p>
        </w:tc>
        <w:tc>
          <w:tcPr>
            <w:tcW w:w="560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武汉大学</w:t>
            </w:r>
          </w:p>
        </w:tc>
        <w:tc>
          <w:tcPr>
            <w:tcW w:w="171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873"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6</w:t>
            </w:r>
          </w:p>
        </w:tc>
        <w:tc>
          <w:tcPr>
            <w:tcW w:w="1092"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李建军</w:t>
            </w:r>
          </w:p>
        </w:tc>
        <w:tc>
          <w:tcPr>
            <w:tcW w:w="560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中铁十二局集团有限公司</w:t>
            </w:r>
          </w:p>
        </w:tc>
        <w:tc>
          <w:tcPr>
            <w:tcW w:w="171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教授级高工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2" w:hRule="atLeast"/>
          <w:jc w:val="center"/>
        </w:trPr>
        <w:tc>
          <w:tcPr>
            <w:tcW w:w="873"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7</w:t>
            </w:r>
          </w:p>
        </w:tc>
        <w:tc>
          <w:tcPr>
            <w:tcW w:w="1092"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王联</w:t>
            </w:r>
          </w:p>
        </w:tc>
        <w:tc>
          <w:tcPr>
            <w:tcW w:w="560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四川省交通运输厅公路规划勘察设计研究院</w:t>
            </w:r>
          </w:p>
        </w:tc>
        <w:tc>
          <w:tcPr>
            <w:tcW w:w="171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教授级高工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873"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8</w:t>
            </w:r>
          </w:p>
        </w:tc>
        <w:tc>
          <w:tcPr>
            <w:tcW w:w="1092"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王亚琼</w:t>
            </w:r>
          </w:p>
        </w:tc>
        <w:tc>
          <w:tcPr>
            <w:tcW w:w="560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长安大学</w:t>
            </w:r>
          </w:p>
        </w:tc>
        <w:tc>
          <w:tcPr>
            <w:tcW w:w="171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873"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9</w:t>
            </w:r>
          </w:p>
        </w:tc>
        <w:tc>
          <w:tcPr>
            <w:tcW w:w="1092"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韩长领</w:t>
            </w:r>
          </w:p>
        </w:tc>
        <w:tc>
          <w:tcPr>
            <w:tcW w:w="560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中交第一公路勘察设计研究院有限公司</w:t>
            </w:r>
          </w:p>
        </w:tc>
        <w:tc>
          <w:tcPr>
            <w:tcW w:w="1714" w:type="dxa"/>
            <w:tcBorders>
              <w:top w:val="single" w:color="auto" w:sz="4" w:space="0"/>
              <w:bottom w:val="single" w:color="auto" w:sz="4" w:space="0"/>
            </w:tcBorders>
            <w:vAlign w:val="center"/>
          </w:tcPr>
          <w:p>
            <w:pPr>
              <w:spacing w:after="0" w:line="240" w:lineRule="auto"/>
              <w:ind w:left="0" w:firstLine="0"/>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教授级高工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2" w:hRule="atLeast"/>
          <w:jc w:val="center"/>
        </w:trPr>
        <w:tc>
          <w:tcPr>
            <w:tcW w:w="9283" w:type="dxa"/>
            <w:gridSpan w:val="4"/>
            <w:tcBorders>
              <w:top w:val="single" w:color="auto" w:sz="4" w:space="0"/>
            </w:tcBorders>
            <w:vAlign w:val="center"/>
          </w:tcPr>
          <w:p>
            <w:pPr>
              <w:spacing w:after="0" w:line="240" w:lineRule="auto"/>
              <w:ind w:left="0" w:firstLine="0"/>
              <w:jc w:val="center"/>
              <w:rPr>
                <w:rFonts w:ascii="方正仿宋_GBK" w:hAnsi="方正仿宋_GBK" w:eastAsia="方正仿宋_GBK" w:cs="方正仿宋_GBK"/>
                <w:sz w:val="30"/>
                <w:szCs w:val="30"/>
              </w:rPr>
            </w:pPr>
            <w:r>
              <w:rPr>
                <w:rFonts w:hint="eastAsia" w:ascii="方正仿宋_GBK" w:hAnsi="方正仿宋_GBK" w:eastAsia="方正仿宋_GBK" w:cs="方正仿宋_GBK"/>
                <w:kern w:val="0"/>
                <w:sz w:val="28"/>
                <w:szCs w:val="28"/>
              </w:rPr>
              <w:t>注意：指南编写组专家不得参与或者申报项目</w:t>
            </w:r>
          </w:p>
        </w:tc>
      </w:tr>
    </w:tbl>
    <w:p>
      <w:pPr>
        <w:rPr>
          <w:rFonts w:ascii="黑体" w:hAnsi="黑体" w:eastAsia="黑体" w:cs="黑体"/>
          <w:b/>
          <w:bCs/>
          <w:sz w:val="30"/>
          <w:szCs w:val="30"/>
        </w:rPr>
      </w:pPr>
      <w:r>
        <w:rPr>
          <w:rFonts w:hint="eastAsia" w:ascii="黑体" w:hAnsi="黑体" w:eastAsia="黑体" w:cs="黑体"/>
          <w:b/>
          <w:bCs/>
          <w:sz w:val="30"/>
          <w:szCs w:val="30"/>
        </w:rPr>
        <w:t xml:space="preserve">    </w:t>
      </w:r>
    </w:p>
    <w:p>
      <w:pPr>
        <w:spacing w:after="0" w:line="560" w:lineRule="exact"/>
        <w:ind w:left="560" w:leftChars="200" w:firstLine="0"/>
        <w:rPr>
          <w:rFonts w:ascii="方正仿宋_GBK" w:hAnsi="方正仿宋_GBK" w:eastAsia="方正仿宋_GBK" w:cs="方正仿宋_GBK"/>
          <w:sz w:val="32"/>
          <w:szCs w:val="32"/>
        </w:rPr>
      </w:pPr>
    </w:p>
    <w:sectPr>
      <w:pgSz w:w="11906" w:h="16838"/>
      <w:pgMar w:top="1431" w:right="1137" w:bottom="1872" w:left="170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C34"/>
    <w:rsid w:val="000759F6"/>
    <w:rsid w:val="000A2855"/>
    <w:rsid w:val="001603EE"/>
    <w:rsid w:val="001D47BC"/>
    <w:rsid w:val="002047F6"/>
    <w:rsid w:val="0021790B"/>
    <w:rsid w:val="00284402"/>
    <w:rsid w:val="002B3D4E"/>
    <w:rsid w:val="002C060F"/>
    <w:rsid w:val="003329E3"/>
    <w:rsid w:val="00421A0F"/>
    <w:rsid w:val="00476D57"/>
    <w:rsid w:val="004D7DF0"/>
    <w:rsid w:val="00557715"/>
    <w:rsid w:val="005D1861"/>
    <w:rsid w:val="006507A9"/>
    <w:rsid w:val="00681D76"/>
    <w:rsid w:val="0069634C"/>
    <w:rsid w:val="00727637"/>
    <w:rsid w:val="00736F82"/>
    <w:rsid w:val="0076276F"/>
    <w:rsid w:val="00791C34"/>
    <w:rsid w:val="007F59FC"/>
    <w:rsid w:val="00801026"/>
    <w:rsid w:val="00881992"/>
    <w:rsid w:val="008C0F72"/>
    <w:rsid w:val="0099573E"/>
    <w:rsid w:val="009C232E"/>
    <w:rsid w:val="009D7348"/>
    <w:rsid w:val="00A313F8"/>
    <w:rsid w:val="00A56190"/>
    <w:rsid w:val="00AD0D5C"/>
    <w:rsid w:val="00AE4C54"/>
    <w:rsid w:val="00B5185F"/>
    <w:rsid w:val="00BE2ACB"/>
    <w:rsid w:val="00C1069B"/>
    <w:rsid w:val="00C14FA2"/>
    <w:rsid w:val="00C445AE"/>
    <w:rsid w:val="00C45456"/>
    <w:rsid w:val="00C874F1"/>
    <w:rsid w:val="00D65EC7"/>
    <w:rsid w:val="00DB08DA"/>
    <w:rsid w:val="00DE40CF"/>
    <w:rsid w:val="00EA481F"/>
    <w:rsid w:val="00F059DE"/>
    <w:rsid w:val="00F93E8C"/>
    <w:rsid w:val="00FE4C38"/>
    <w:rsid w:val="04F27EAB"/>
    <w:rsid w:val="06BD5C5E"/>
    <w:rsid w:val="12E507E0"/>
    <w:rsid w:val="19316CD5"/>
    <w:rsid w:val="1CB163B6"/>
    <w:rsid w:val="1DE448F4"/>
    <w:rsid w:val="5A681D64"/>
    <w:rsid w:val="5B0E4C04"/>
    <w:rsid w:val="5EEF4DAF"/>
    <w:rsid w:val="5F814414"/>
    <w:rsid w:val="7445731F"/>
    <w:rsid w:val="745E61F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27" w:line="259" w:lineRule="auto"/>
      <w:ind w:left="569" w:hanging="10"/>
    </w:pPr>
    <w:rPr>
      <w:rFonts w:ascii="宋体" w:hAnsi="宋体" w:eastAsia="宋体" w:cs="宋体"/>
      <w:color w:val="000000"/>
      <w:kern w:val="2"/>
      <w:sz w:val="28"/>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字符"/>
    <w:basedOn w:val="4"/>
    <w:link w:val="3"/>
    <w:qFormat/>
    <w:uiPriority w:val="99"/>
    <w:rPr>
      <w:rFonts w:ascii="宋体" w:hAnsi="宋体" w:eastAsia="宋体" w:cs="宋体"/>
      <w:color w:val="000000"/>
      <w:sz w:val="18"/>
      <w:szCs w:val="18"/>
    </w:rPr>
  </w:style>
  <w:style w:type="character" w:customStyle="1" w:styleId="7">
    <w:name w:val="页脚 字符"/>
    <w:basedOn w:val="4"/>
    <w:link w:val="2"/>
    <w:qFormat/>
    <w:uiPriority w:val="99"/>
    <w:rPr>
      <w:rFonts w:ascii="宋体" w:hAnsi="宋体" w:eastAsia="宋体" w:cs="宋体"/>
      <w:color w:val="000000"/>
      <w:sz w:val="18"/>
      <w:szCs w:val="18"/>
    </w:rPr>
  </w:style>
  <w:style w:type="paragraph" w:customStyle="1"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338</Words>
  <Characters>1928</Characters>
  <Lines>16</Lines>
  <Paragraphs>4</Paragraphs>
  <ScaleCrop>false</ScaleCrop>
  <LinksUpToDate>false</LinksUpToDate>
  <CharactersWithSpaces>2262</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2019-12-03T02:13:00Z</dcterms:created>
  <dc:creator>周淼</dc:creator>
  <cp:lastModifiedBy>xzj</cp:lastModifiedBy>
  <cp:lastPrinted>2019-11-29T07:43:00Z</cp:lastPrinted>
  <dcterms:modified xsi:type="dcterms:W3CDTF">2019-12-05T08:22:09Z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