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7A6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2025年</w:t>
      </w:r>
      <w:r>
        <w:rPr>
          <w:rFonts w:hint="eastAsia" w:ascii="方正小标宋简体" w:eastAsia="方正小标宋简体"/>
          <w:color w:val="auto"/>
          <w:sz w:val="44"/>
          <w:szCs w:val="44"/>
          <w:lang w:val="en-US" w:eastAsia="zh-CN"/>
        </w:rPr>
        <w:t>文理学院/文化艺术学院</w:t>
      </w:r>
      <w:r>
        <w:rPr>
          <w:rFonts w:hint="eastAsia" w:ascii="方正小标宋简体" w:eastAsia="方正小标宋简体"/>
          <w:color w:val="auto"/>
          <w:sz w:val="44"/>
          <w:szCs w:val="44"/>
        </w:rPr>
        <w:t>本科生综合素质测评实施办法</w:t>
      </w:r>
    </w:p>
    <w:p w14:paraId="4A7E1B27">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32"/>
          <w:szCs w:val="32"/>
        </w:rPr>
      </w:pPr>
      <w:bookmarkStart w:id="13" w:name="_GoBack"/>
      <w:bookmarkEnd w:id="13"/>
    </w:p>
    <w:p w14:paraId="6143A85E">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一、总则</w:t>
      </w:r>
    </w:p>
    <w:p w14:paraId="1A20BD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第一条 为了进一步规范学院学生工作日常管理，鼓励我院学生积极参加科技创新、社会实践、志愿服务、文艺晚会、体育比赛、征文等活动，依据《中国石油大学（北京）克拉玛依校区本科生综合测评办法（修订）》，按照公开、公平、公正和民主集中制原则制定。</w:t>
      </w:r>
    </w:p>
    <w:p w14:paraId="1E666B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第二条 为了进一步落实好本科生综合测评工作，特成立</w:t>
      </w:r>
      <w:r>
        <w:rPr>
          <w:rFonts w:hint="eastAsia" w:ascii="Times New Roman" w:hAnsi="Times New Roman" w:eastAsia="仿宋_GB2312"/>
          <w:color w:val="auto"/>
          <w:sz w:val="32"/>
          <w:szCs w:val="32"/>
          <w:lang w:val="en-US" w:eastAsia="zh-CN"/>
        </w:rPr>
        <w:t>文理学院/文化艺术学院</w:t>
      </w:r>
      <w:r>
        <w:rPr>
          <w:rFonts w:hint="eastAsia" w:ascii="Times New Roman" w:hAnsi="Times New Roman" w:eastAsia="仿宋_GB2312"/>
          <w:color w:val="auto"/>
          <w:sz w:val="32"/>
          <w:szCs w:val="32"/>
        </w:rPr>
        <w:t>本科生综合测评委员会（具体名单如下）：</w:t>
      </w:r>
    </w:p>
    <w:p w14:paraId="5A3B38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组长：</w:t>
      </w:r>
      <w:r>
        <w:rPr>
          <w:rFonts w:hint="eastAsia" w:ascii="Times New Roman" w:hAnsi="Times New Roman" w:eastAsia="仿宋_GB2312"/>
          <w:color w:val="auto"/>
          <w:sz w:val="32"/>
          <w:szCs w:val="32"/>
          <w:lang w:val="en-US" w:eastAsia="zh-CN"/>
        </w:rPr>
        <w:t>殷文</w:t>
      </w:r>
    </w:p>
    <w:p w14:paraId="1B949E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副组长：</w:t>
      </w:r>
      <w:r>
        <w:rPr>
          <w:rFonts w:hint="eastAsia" w:ascii="Times New Roman" w:hAnsi="Times New Roman" w:eastAsia="仿宋_GB2312"/>
          <w:color w:val="auto"/>
          <w:sz w:val="32"/>
          <w:szCs w:val="32"/>
          <w:lang w:val="en-US" w:eastAsia="zh-CN"/>
        </w:rPr>
        <w:t>杨妍</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闫鹏</w:t>
      </w:r>
    </w:p>
    <w:p w14:paraId="4DFB76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成员：</w:t>
      </w:r>
      <w:r>
        <w:rPr>
          <w:rFonts w:hint="eastAsia" w:ascii="Times New Roman" w:hAnsi="Times New Roman" w:eastAsia="仿宋_GB2312"/>
          <w:color w:val="auto"/>
          <w:sz w:val="32"/>
          <w:szCs w:val="32"/>
          <w:lang w:val="en-US" w:eastAsia="zh-CN"/>
        </w:rPr>
        <w:t>李嘉硕 李菀儒 涂梦雪 宋萌露 杨梦迪 段清元</w:t>
      </w:r>
    </w:p>
    <w:p w14:paraId="7B75E1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本办法最终解释权归</w:t>
      </w:r>
      <w:r>
        <w:rPr>
          <w:rFonts w:hint="eastAsia" w:ascii="Times New Roman" w:hAnsi="Times New Roman" w:eastAsia="仿宋_GB2312"/>
          <w:color w:val="auto"/>
          <w:sz w:val="32"/>
          <w:szCs w:val="32"/>
          <w:lang w:val="en-US" w:eastAsia="zh-CN"/>
        </w:rPr>
        <w:t>文理学院/文化艺术学院</w:t>
      </w:r>
      <w:r>
        <w:rPr>
          <w:rFonts w:hint="eastAsia" w:ascii="Times New Roman" w:hAnsi="Times New Roman" w:eastAsia="仿宋_GB2312"/>
          <w:color w:val="auto"/>
          <w:sz w:val="32"/>
          <w:szCs w:val="32"/>
        </w:rPr>
        <w:t>本科生综合测评委员会。</w:t>
      </w:r>
    </w:p>
    <w:p w14:paraId="21E395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第三条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本办法适用于</w:t>
      </w:r>
      <w:r>
        <w:rPr>
          <w:rFonts w:hint="eastAsia" w:ascii="Times New Roman" w:hAnsi="Times New Roman" w:eastAsia="仿宋_GB2312"/>
          <w:color w:val="auto"/>
          <w:sz w:val="32"/>
          <w:szCs w:val="32"/>
          <w:lang w:val="en-US" w:eastAsia="zh-CN"/>
        </w:rPr>
        <w:t>文理学院/文化艺术学院</w:t>
      </w:r>
      <w:r>
        <w:rPr>
          <w:rFonts w:ascii="Times New Roman" w:hAnsi="Times New Roman" w:eastAsia="仿宋_GB2312"/>
          <w:color w:val="auto"/>
          <w:sz w:val="32"/>
          <w:szCs w:val="32"/>
        </w:rPr>
        <w:t>2024年及以后入学学生，2023年及以前入学学生按原有办法执行。</w:t>
      </w:r>
      <w:r>
        <w:rPr>
          <w:rFonts w:hint="eastAsia" w:ascii="Times New Roman" w:hAnsi="Times New Roman" w:eastAsia="仿宋_GB2312"/>
          <w:color w:val="auto"/>
          <w:sz w:val="32"/>
          <w:szCs w:val="32"/>
        </w:rPr>
        <w:t>综合测评每学年进行一次，以同年级同专业为排序单位，每年度所有加分截止至当年</w:t>
      </w:r>
      <w:r>
        <w:rPr>
          <w:rFonts w:ascii="Times New Roman" w:hAnsi="Times New Roman" w:eastAsia="仿宋_GB2312"/>
          <w:color w:val="auto"/>
          <w:sz w:val="32"/>
          <w:szCs w:val="32"/>
        </w:rPr>
        <w:t>8月31日，所有具备加分资格的条目应在上述时间内取得。</w:t>
      </w:r>
    </w:p>
    <w:p w14:paraId="6D13CF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p>
    <w:p w14:paraId="10361F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二、总成绩</w:t>
      </w:r>
    </w:p>
    <w:p w14:paraId="22E5A2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综合测评成绩</w:t>
      </w:r>
      <w:r>
        <w:rPr>
          <w:rFonts w:ascii="Times New Roman" w:hAnsi="Times New Roman" w:eastAsia="仿宋_GB2312"/>
          <w:color w:val="auto"/>
          <w:sz w:val="32"/>
          <w:szCs w:val="32"/>
        </w:rPr>
        <w:t>=德育成绩×15%+智育成绩×70%+体育成绩×5%+美育</w:t>
      </w:r>
      <w:r>
        <w:rPr>
          <w:rFonts w:hint="eastAsia" w:ascii="Times New Roman" w:hAnsi="Times New Roman" w:eastAsia="仿宋_GB2312"/>
          <w:color w:val="auto"/>
          <w:sz w:val="32"/>
          <w:szCs w:val="32"/>
        </w:rPr>
        <w:t>成绩×</w:t>
      </w:r>
      <w:r>
        <w:rPr>
          <w:rFonts w:ascii="Times New Roman" w:hAnsi="Times New Roman" w:eastAsia="仿宋_GB2312"/>
          <w:color w:val="auto"/>
          <w:sz w:val="32"/>
          <w:szCs w:val="32"/>
        </w:rPr>
        <w:t>5%+劳育成绩×5%</w:t>
      </w:r>
    </w:p>
    <w:p w14:paraId="52651D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三、德育测评</w:t>
      </w:r>
    </w:p>
    <w:p w14:paraId="7C0835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德育成绩（</w:t>
      </w:r>
      <w:r>
        <w:rPr>
          <w:rFonts w:ascii="Times New Roman" w:hAnsi="Times New Roman" w:eastAsia="仿宋_GB2312"/>
          <w:color w:val="auto"/>
          <w:sz w:val="32"/>
          <w:szCs w:val="32"/>
        </w:rPr>
        <w:t>100分）=思想品德测评分值（70分）＋德育加分（30分）-扣分项</w:t>
      </w:r>
      <w:r>
        <w:rPr>
          <w:rFonts w:hint="eastAsia" w:ascii="Times New Roman" w:hAnsi="Times New Roman" w:eastAsia="仿宋_GB2312"/>
          <w:color w:val="auto"/>
          <w:sz w:val="32"/>
          <w:szCs w:val="32"/>
        </w:rPr>
        <w:t>。</w:t>
      </w:r>
    </w:p>
    <w:p w14:paraId="5F3B24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（一）德育基础分：思想品德测评分值（70分）</w:t>
      </w:r>
    </w:p>
    <w:p w14:paraId="34E9D7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学生思想品德测评分值</w:t>
      </w:r>
      <w:r>
        <w:rPr>
          <w:rFonts w:ascii="Times New Roman" w:hAnsi="Times New Roman" w:eastAsia="仿宋_GB2312"/>
          <w:color w:val="auto"/>
          <w:sz w:val="32"/>
          <w:szCs w:val="32"/>
        </w:rPr>
        <w:t>=（辅导员评分×50%+班团委员会评分20%+班级学生互</w:t>
      </w:r>
      <w:r>
        <w:rPr>
          <w:rFonts w:hint="eastAsia" w:ascii="Times New Roman" w:hAnsi="Times New Roman" w:eastAsia="仿宋_GB2312"/>
          <w:color w:val="auto"/>
          <w:sz w:val="32"/>
          <w:szCs w:val="32"/>
        </w:rPr>
        <w:t>评平均分×</w:t>
      </w:r>
      <w:r>
        <w:rPr>
          <w:rFonts w:ascii="Times New Roman" w:hAnsi="Times New Roman" w:eastAsia="仿宋_GB2312"/>
          <w:color w:val="auto"/>
          <w:sz w:val="32"/>
          <w:szCs w:val="32"/>
        </w:rPr>
        <w:t>20%+班主任评分×10%）×70%</w:t>
      </w:r>
    </w:p>
    <w:p w14:paraId="71CECF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主要从理想信念、集体观念、公共道德、学习态度、组织纪律等五个方面表现进行综合评价，每项</w:t>
      </w:r>
      <w:r>
        <w:rPr>
          <w:rFonts w:ascii="Times New Roman" w:hAnsi="Times New Roman" w:eastAsia="仿宋_GB2312"/>
          <w:color w:val="auto"/>
          <w:sz w:val="32"/>
          <w:szCs w:val="32"/>
        </w:rPr>
        <w:t>20分</w:t>
      </w:r>
      <w:r>
        <w:rPr>
          <w:rFonts w:hint="eastAsia" w:ascii="Times New Roman" w:hAnsi="Times New Roman" w:eastAsia="仿宋_GB2312"/>
          <w:color w:val="auto"/>
          <w:sz w:val="32"/>
          <w:szCs w:val="32"/>
        </w:rPr>
        <w:t>。</w:t>
      </w:r>
    </w:p>
    <w:p w14:paraId="48F3A0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（二）德育加分（30分）</w:t>
      </w:r>
    </w:p>
    <w:p w14:paraId="265AC8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德育加分由思想品德表现和</w:t>
      </w:r>
      <w:bookmarkStart w:id="0" w:name="OLE_LINK4"/>
      <w:r>
        <w:rPr>
          <w:rFonts w:hint="eastAsia" w:ascii="Times New Roman" w:hAnsi="Times New Roman" w:eastAsia="仿宋_GB2312"/>
          <w:color w:val="auto"/>
          <w:sz w:val="32"/>
          <w:szCs w:val="32"/>
        </w:rPr>
        <w:t>学生社会工作</w:t>
      </w:r>
      <w:bookmarkEnd w:id="0"/>
      <w:r>
        <w:rPr>
          <w:rFonts w:hint="eastAsia" w:ascii="Times New Roman" w:hAnsi="Times New Roman" w:eastAsia="仿宋_GB2312"/>
          <w:color w:val="auto"/>
          <w:sz w:val="32"/>
          <w:szCs w:val="32"/>
        </w:rPr>
        <w:t>组成，各项分值可累加，上限不超过</w:t>
      </w:r>
      <w:r>
        <w:rPr>
          <w:rFonts w:ascii="Times New Roman" w:hAnsi="Times New Roman" w:eastAsia="仿宋_GB2312"/>
          <w:color w:val="auto"/>
          <w:sz w:val="32"/>
          <w:szCs w:val="32"/>
        </w:rPr>
        <w:t>30分。</w:t>
      </w:r>
    </w:p>
    <w:p w14:paraId="2FC88104">
      <w:pPr>
        <w:pStyle w:val="6"/>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ascii="Times New Roman" w:hAnsi="Times New Roman" w:eastAsia="仿宋_GB2312"/>
          <w:b/>
          <w:bCs/>
          <w:color w:val="auto"/>
          <w:sz w:val="32"/>
          <w:szCs w:val="32"/>
        </w:rPr>
      </w:pPr>
      <w:r>
        <w:rPr>
          <w:rFonts w:ascii="Times New Roman" w:hAnsi="Times New Roman" w:eastAsia="仿宋_GB2312"/>
          <w:b/>
          <w:bCs/>
          <w:color w:val="auto"/>
          <w:sz w:val="32"/>
          <w:szCs w:val="32"/>
        </w:rPr>
        <w:t>思想品德表现</w:t>
      </w:r>
    </w:p>
    <w:p w14:paraId="1952E0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包括集体荣誉、个人荣誉、学习进步和积极表现四个方面，按下</w:t>
      </w:r>
      <w:r>
        <w:rPr>
          <w:rFonts w:hint="eastAsia" w:ascii="Times New Roman" w:hAnsi="Times New Roman" w:eastAsia="仿宋_GB2312"/>
          <w:color w:val="auto"/>
          <w:sz w:val="32"/>
          <w:szCs w:val="32"/>
        </w:rPr>
        <w:t>述标准加分，如所获荣誉不分级别，视为该等级一等奖。</w:t>
      </w:r>
    </w:p>
    <w:tbl>
      <w:tblPr>
        <w:tblStyle w:val="4"/>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015"/>
        <w:gridCol w:w="3171"/>
        <w:gridCol w:w="1141"/>
      </w:tblGrid>
      <w:tr w14:paraId="5B63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shd w:val="clear" w:color="auto" w:fill="auto"/>
            <w:noWrap/>
            <w:vAlign w:val="center"/>
          </w:tcPr>
          <w:p w14:paraId="2B4EA4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项目</w:t>
            </w:r>
          </w:p>
        </w:tc>
        <w:tc>
          <w:tcPr>
            <w:tcW w:w="2015" w:type="dxa"/>
            <w:shd w:val="clear" w:color="auto" w:fill="auto"/>
            <w:noWrap/>
            <w:vAlign w:val="center"/>
          </w:tcPr>
          <w:p w14:paraId="03031A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等级</w:t>
            </w:r>
          </w:p>
        </w:tc>
        <w:tc>
          <w:tcPr>
            <w:tcW w:w="3171" w:type="dxa"/>
            <w:shd w:val="clear" w:color="auto" w:fill="auto"/>
            <w:noWrap/>
            <w:vAlign w:val="center"/>
          </w:tcPr>
          <w:p w14:paraId="290F63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级别</w:t>
            </w:r>
          </w:p>
        </w:tc>
        <w:tc>
          <w:tcPr>
            <w:tcW w:w="1141" w:type="dxa"/>
            <w:shd w:val="clear" w:color="auto" w:fill="auto"/>
            <w:noWrap/>
            <w:vAlign w:val="center"/>
          </w:tcPr>
          <w:p w14:paraId="4E5985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加分</w:t>
            </w:r>
          </w:p>
        </w:tc>
      </w:tr>
      <w:tr w14:paraId="6B7E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restart"/>
            <w:shd w:val="clear" w:color="auto" w:fill="auto"/>
            <w:vAlign w:val="center"/>
          </w:tcPr>
          <w:p w14:paraId="7B028F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集体荣誉加分</w:t>
            </w:r>
          </w:p>
          <w:p w14:paraId="19B2C2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（党支部、团支部、班级、宿舍等获得的集体荣誉，集体成员每人均按对应级别加分）</w:t>
            </w:r>
          </w:p>
        </w:tc>
        <w:tc>
          <w:tcPr>
            <w:tcW w:w="2015" w:type="dxa"/>
            <w:vMerge w:val="restart"/>
            <w:shd w:val="clear" w:color="auto" w:fill="auto"/>
            <w:noWrap/>
            <w:vAlign w:val="center"/>
          </w:tcPr>
          <w:p w14:paraId="79E2DB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国家级</w:t>
            </w:r>
          </w:p>
        </w:tc>
        <w:tc>
          <w:tcPr>
            <w:tcW w:w="3171" w:type="dxa"/>
            <w:shd w:val="clear" w:color="auto" w:fill="auto"/>
            <w:noWrap/>
            <w:vAlign w:val="center"/>
          </w:tcPr>
          <w:p w14:paraId="0F0A00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0DBB74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20</w:t>
            </w:r>
          </w:p>
        </w:tc>
      </w:tr>
      <w:tr w14:paraId="7C21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7358C4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2F8151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0F2500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二等奖</w:t>
            </w:r>
          </w:p>
        </w:tc>
        <w:tc>
          <w:tcPr>
            <w:tcW w:w="1141" w:type="dxa"/>
            <w:shd w:val="clear" w:color="auto" w:fill="auto"/>
            <w:noWrap/>
            <w:vAlign w:val="center"/>
          </w:tcPr>
          <w:p w14:paraId="1980C5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18</w:t>
            </w:r>
          </w:p>
        </w:tc>
      </w:tr>
      <w:tr w14:paraId="3D1C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341628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51292B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3387E8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三等奖</w:t>
            </w:r>
          </w:p>
        </w:tc>
        <w:tc>
          <w:tcPr>
            <w:tcW w:w="1141" w:type="dxa"/>
            <w:shd w:val="clear" w:color="auto" w:fill="auto"/>
            <w:noWrap/>
            <w:vAlign w:val="center"/>
          </w:tcPr>
          <w:p w14:paraId="7FECDE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16</w:t>
            </w:r>
          </w:p>
        </w:tc>
      </w:tr>
      <w:tr w14:paraId="3187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052859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780187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6DB3CE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鼓励奖/优秀奖</w:t>
            </w:r>
          </w:p>
        </w:tc>
        <w:tc>
          <w:tcPr>
            <w:tcW w:w="1141" w:type="dxa"/>
            <w:shd w:val="clear" w:color="auto" w:fill="auto"/>
            <w:noWrap/>
            <w:vAlign w:val="center"/>
          </w:tcPr>
          <w:p w14:paraId="25F7E1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14</w:t>
            </w:r>
          </w:p>
        </w:tc>
      </w:tr>
      <w:tr w14:paraId="1E9B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36" w:type="dxa"/>
            <w:vMerge w:val="continue"/>
            <w:vAlign w:val="center"/>
          </w:tcPr>
          <w:p w14:paraId="459CEF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restart"/>
            <w:shd w:val="clear" w:color="auto" w:fill="auto"/>
            <w:noWrap/>
            <w:vAlign w:val="center"/>
          </w:tcPr>
          <w:p w14:paraId="30A47A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省部级</w:t>
            </w:r>
          </w:p>
        </w:tc>
        <w:tc>
          <w:tcPr>
            <w:tcW w:w="3171" w:type="dxa"/>
            <w:shd w:val="clear" w:color="auto" w:fill="auto"/>
            <w:noWrap/>
            <w:vAlign w:val="center"/>
          </w:tcPr>
          <w:p w14:paraId="30EFC3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791E68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12</w:t>
            </w:r>
          </w:p>
        </w:tc>
      </w:tr>
      <w:tr w14:paraId="6BFF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491314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7C1580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5FF4D9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二等奖</w:t>
            </w:r>
          </w:p>
        </w:tc>
        <w:tc>
          <w:tcPr>
            <w:tcW w:w="1141" w:type="dxa"/>
            <w:shd w:val="clear" w:color="auto" w:fill="auto"/>
            <w:noWrap/>
            <w:vAlign w:val="center"/>
          </w:tcPr>
          <w:p w14:paraId="4F3CD6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10</w:t>
            </w:r>
          </w:p>
        </w:tc>
      </w:tr>
      <w:tr w14:paraId="7AAA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366C4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73595A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45F97B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三等奖</w:t>
            </w:r>
          </w:p>
        </w:tc>
        <w:tc>
          <w:tcPr>
            <w:tcW w:w="1141" w:type="dxa"/>
            <w:shd w:val="clear" w:color="auto" w:fill="auto"/>
            <w:noWrap/>
            <w:vAlign w:val="center"/>
          </w:tcPr>
          <w:p w14:paraId="0F062A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8</w:t>
            </w:r>
          </w:p>
        </w:tc>
      </w:tr>
      <w:tr w14:paraId="3CDB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6ADC57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2210EA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7E0A78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鼓励奖/优秀奖</w:t>
            </w:r>
          </w:p>
        </w:tc>
        <w:tc>
          <w:tcPr>
            <w:tcW w:w="1141" w:type="dxa"/>
            <w:shd w:val="clear" w:color="auto" w:fill="auto"/>
            <w:noWrap/>
            <w:vAlign w:val="center"/>
          </w:tcPr>
          <w:p w14:paraId="72B8F6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r>
      <w:tr w14:paraId="3620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48210C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restart"/>
            <w:shd w:val="clear" w:color="auto" w:fill="auto"/>
            <w:noWrap/>
            <w:vAlign w:val="center"/>
          </w:tcPr>
          <w:p w14:paraId="36DA26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校级</w:t>
            </w:r>
          </w:p>
        </w:tc>
        <w:tc>
          <w:tcPr>
            <w:tcW w:w="3171" w:type="dxa"/>
            <w:shd w:val="clear" w:color="auto" w:fill="auto"/>
            <w:noWrap/>
            <w:vAlign w:val="center"/>
          </w:tcPr>
          <w:p w14:paraId="6A131D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7A51FB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r>
      <w:tr w14:paraId="0E7C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12615A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3BDC35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0A0EC4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二等奖</w:t>
            </w:r>
          </w:p>
        </w:tc>
        <w:tc>
          <w:tcPr>
            <w:tcW w:w="1141" w:type="dxa"/>
            <w:shd w:val="clear" w:color="auto" w:fill="auto"/>
            <w:noWrap/>
            <w:vAlign w:val="center"/>
          </w:tcPr>
          <w:p w14:paraId="7389F4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p>
        </w:tc>
      </w:tr>
      <w:tr w14:paraId="6D6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592F0F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7D854A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7D91B2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三等奖</w:t>
            </w:r>
          </w:p>
        </w:tc>
        <w:tc>
          <w:tcPr>
            <w:tcW w:w="1141" w:type="dxa"/>
            <w:shd w:val="clear" w:color="auto" w:fill="auto"/>
            <w:noWrap/>
            <w:vAlign w:val="center"/>
          </w:tcPr>
          <w:p w14:paraId="5988BA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r>
      <w:tr w14:paraId="3A2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36" w:type="dxa"/>
            <w:vMerge w:val="continue"/>
            <w:vAlign w:val="center"/>
          </w:tcPr>
          <w:p w14:paraId="43272A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shd w:val="clear" w:color="auto" w:fill="auto"/>
            <w:noWrap/>
            <w:vAlign w:val="center"/>
          </w:tcPr>
          <w:p w14:paraId="509F26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院级</w:t>
            </w:r>
          </w:p>
        </w:tc>
        <w:tc>
          <w:tcPr>
            <w:tcW w:w="3171" w:type="dxa"/>
            <w:shd w:val="clear" w:color="auto" w:fill="auto"/>
            <w:noWrap/>
            <w:vAlign w:val="center"/>
          </w:tcPr>
          <w:p w14:paraId="04A2F1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7A235F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r>
      <w:tr w14:paraId="1721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restart"/>
            <w:shd w:val="clear" w:color="auto" w:fill="auto"/>
            <w:vAlign w:val="center"/>
          </w:tcPr>
          <w:p w14:paraId="674EC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 xml:space="preserve">个人荣誉加分 </w:t>
            </w:r>
            <w:r>
              <w:rPr>
                <w:rFonts w:hint="eastAsia" w:ascii="Times New Roman" w:hAnsi="Times New Roman" w:eastAsia="仿宋_GB2312" w:cs="Times New Roman"/>
                <w:color w:val="auto"/>
                <w:kern w:val="0"/>
                <w:sz w:val="24"/>
                <w:szCs w:val="24"/>
              </w:rPr>
              <w:br w:type="textWrapping"/>
            </w:r>
            <w:r>
              <w:rPr>
                <w:rFonts w:hint="eastAsia" w:ascii="Times New Roman" w:hAnsi="Times New Roman" w:eastAsia="仿宋_GB2312" w:cs="Times New Roman"/>
                <w:color w:val="auto"/>
                <w:kern w:val="0"/>
                <w:sz w:val="24"/>
                <w:szCs w:val="24"/>
              </w:rPr>
              <w:t>（参加德育类主题征文、演讲比赛、知识竞赛、作品征集等获奖；荣获思政类相关荣誉称号，获得通报表扬、嘉奖、立功等荣誉）</w:t>
            </w:r>
          </w:p>
        </w:tc>
        <w:tc>
          <w:tcPr>
            <w:tcW w:w="2015" w:type="dxa"/>
            <w:vMerge w:val="restart"/>
            <w:shd w:val="clear" w:color="auto" w:fill="auto"/>
            <w:noWrap/>
            <w:vAlign w:val="center"/>
          </w:tcPr>
          <w:p w14:paraId="533966F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国家级</w:t>
            </w:r>
          </w:p>
        </w:tc>
        <w:tc>
          <w:tcPr>
            <w:tcW w:w="3171" w:type="dxa"/>
            <w:shd w:val="clear" w:color="auto" w:fill="auto"/>
            <w:noWrap/>
            <w:vAlign w:val="center"/>
          </w:tcPr>
          <w:p w14:paraId="5C2F3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1B93FB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12</w:t>
            </w:r>
          </w:p>
        </w:tc>
      </w:tr>
      <w:tr w14:paraId="55E4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6C43B2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7C2ABB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0E66A0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二等奖</w:t>
            </w:r>
          </w:p>
        </w:tc>
        <w:tc>
          <w:tcPr>
            <w:tcW w:w="1141" w:type="dxa"/>
            <w:shd w:val="clear" w:color="auto" w:fill="auto"/>
            <w:noWrap/>
            <w:vAlign w:val="center"/>
          </w:tcPr>
          <w:p w14:paraId="122CA5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11</w:t>
            </w:r>
          </w:p>
        </w:tc>
      </w:tr>
      <w:tr w14:paraId="114C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48EB72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0B9D8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34E33D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三等奖</w:t>
            </w:r>
          </w:p>
        </w:tc>
        <w:tc>
          <w:tcPr>
            <w:tcW w:w="1141" w:type="dxa"/>
            <w:shd w:val="clear" w:color="auto" w:fill="auto"/>
            <w:noWrap/>
            <w:vAlign w:val="center"/>
          </w:tcPr>
          <w:p w14:paraId="0CC8E0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10</w:t>
            </w:r>
          </w:p>
        </w:tc>
      </w:tr>
      <w:tr w14:paraId="34BA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3B9B8F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59E841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3E22D4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鼓励奖/优秀奖</w:t>
            </w:r>
          </w:p>
        </w:tc>
        <w:tc>
          <w:tcPr>
            <w:tcW w:w="1141" w:type="dxa"/>
            <w:shd w:val="clear" w:color="auto" w:fill="auto"/>
            <w:noWrap/>
            <w:vAlign w:val="center"/>
          </w:tcPr>
          <w:p w14:paraId="594E87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9</w:t>
            </w:r>
          </w:p>
        </w:tc>
      </w:tr>
      <w:tr w14:paraId="79CC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719220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restart"/>
            <w:shd w:val="clear" w:color="auto" w:fill="auto"/>
            <w:noWrap/>
            <w:vAlign w:val="center"/>
          </w:tcPr>
          <w:p w14:paraId="0DFD56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省部级</w:t>
            </w:r>
          </w:p>
        </w:tc>
        <w:tc>
          <w:tcPr>
            <w:tcW w:w="3171" w:type="dxa"/>
            <w:shd w:val="clear" w:color="auto" w:fill="auto"/>
            <w:noWrap/>
            <w:vAlign w:val="center"/>
          </w:tcPr>
          <w:p w14:paraId="4AF90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4DACD0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8</w:t>
            </w:r>
          </w:p>
        </w:tc>
      </w:tr>
      <w:tr w14:paraId="36A4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425D46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0F53E9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2121BE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二等奖</w:t>
            </w:r>
          </w:p>
        </w:tc>
        <w:tc>
          <w:tcPr>
            <w:tcW w:w="1141" w:type="dxa"/>
            <w:shd w:val="clear" w:color="auto" w:fill="auto"/>
            <w:noWrap/>
            <w:vAlign w:val="center"/>
          </w:tcPr>
          <w:p w14:paraId="2694D4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7</w:t>
            </w:r>
          </w:p>
        </w:tc>
      </w:tr>
      <w:tr w14:paraId="023F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6BABE8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3CFBC9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227608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三等奖</w:t>
            </w:r>
          </w:p>
        </w:tc>
        <w:tc>
          <w:tcPr>
            <w:tcW w:w="1141" w:type="dxa"/>
            <w:shd w:val="clear" w:color="auto" w:fill="auto"/>
            <w:noWrap/>
            <w:vAlign w:val="center"/>
          </w:tcPr>
          <w:p w14:paraId="253BCD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r>
      <w:tr w14:paraId="59F3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693490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208ABA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0533EA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鼓励奖/优秀奖</w:t>
            </w:r>
          </w:p>
        </w:tc>
        <w:tc>
          <w:tcPr>
            <w:tcW w:w="1141" w:type="dxa"/>
            <w:shd w:val="clear" w:color="auto" w:fill="auto"/>
            <w:noWrap/>
            <w:vAlign w:val="center"/>
          </w:tcPr>
          <w:p w14:paraId="33A4F2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5</w:t>
            </w:r>
          </w:p>
        </w:tc>
      </w:tr>
      <w:tr w14:paraId="59EA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79C664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restart"/>
            <w:shd w:val="clear" w:color="auto" w:fill="auto"/>
            <w:noWrap/>
            <w:vAlign w:val="center"/>
          </w:tcPr>
          <w:p w14:paraId="4B14CB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校级</w:t>
            </w:r>
          </w:p>
        </w:tc>
        <w:tc>
          <w:tcPr>
            <w:tcW w:w="3171" w:type="dxa"/>
            <w:shd w:val="clear" w:color="auto" w:fill="auto"/>
            <w:noWrap/>
            <w:vAlign w:val="center"/>
          </w:tcPr>
          <w:p w14:paraId="77DC84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61CEE9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r>
      <w:tr w14:paraId="65F3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158831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24D077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6C7802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二等奖</w:t>
            </w:r>
          </w:p>
        </w:tc>
        <w:tc>
          <w:tcPr>
            <w:tcW w:w="1141" w:type="dxa"/>
            <w:shd w:val="clear" w:color="auto" w:fill="auto"/>
            <w:noWrap/>
            <w:vAlign w:val="center"/>
          </w:tcPr>
          <w:p w14:paraId="530AF2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p>
        </w:tc>
      </w:tr>
      <w:tr w14:paraId="1A02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4F7DD7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29B226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3289B0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三等奖</w:t>
            </w:r>
          </w:p>
        </w:tc>
        <w:tc>
          <w:tcPr>
            <w:tcW w:w="1141" w:type="dxa"/>
            <w:shd w:val="clear" w:color="auto" w:fill="auto"/>
            <w:noWrap/>
            <w:vAlign w:val="center"/>
          </w:tcPr>
          <w:p w14:paraId="673291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r>
      <w:tr w14:paraId="345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7516AE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shd w:val="clear" w:color="auto" w:fill="auto"/>
            <w:noWrap/>
            <w:vAlign w:val="center"/>
          </w:tcPr>
          <w:p w14:paraId="022DC0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院级</w:t>
            </w:r>
          </w:p>
        </w:tc>
        <w:tc>
          <w:tcPr>
            <w:tcW w:w="3171" w:type="dxa"/>
            <w:shd w:val="clear" w:color="auto" w:fill="auto"/>
            <w:noWrap/>
            <w:vAlign w:val="center"/>
          </w:tcPr>
          <w:p w14:paraId="3050C7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一等奖</w:t>
            </w:r>
          </w:p>
        </w:tc>
        <w:tc>
          <w:tcPr>
            <w:tcW w:w="1141" w:type="dxa"/>
            <w:shd w:val="clear" w:color="auto" w:fill="auto"/>
            <w:noWrap/>
            <w:vAlign w:val="center"/>
          </w:tcPr>
          <w:p w14:paraId="25F7F3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r>
      <w:tr w14:paraId="5C86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restart"/>
            <w:shd w:val="clear" w:color="auto" w:fill="auto"/>
            <w:noWrap/>
            <w:vAlign w:val="center"/>
          </w:tcPr>
          <w:p w14:paraId="276108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 xml:space="preserve">学习进步加分 </w:t>
            </w:r>
          </w:p>
        </w:tc>
        <w:tc>
          <w:tcPr>
            <w:tcW w:w="5186" w:type="dxa"/>
            <w:gridSpan w:val="2"/>
            <w:vMerge w:val="restart"/>
            <w:shd w:val="clear" w:color="auto" w:fill="auto"/>
            <w:vAlign w:val="center"/>
          </w:tcPr>
          <w:p w14:paraId="508F6E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经过本人刻苦努力，学年内智育成绩排名在同年级同专业中比上一学年度提高，根据进步幅度加分，加分细则另附</w:t>
            </w:r>
          </w:p>
        </w:tc>
        <w:tc>
          <w:tcPr>
            <w:tcW w:w="1141" w:type="dxa"/>
            <w:vMerge w:val="restart"/>
            <w:shd w:val="clear" w:color="auto" w:fill="auto"/>
            <w:noWrap/>
            <w:vAlign w:val="center"/>
          </w:tcPr>
          <w:p w14:paraId="298E8B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0-10</w:t>
            </w:r>
          </w:p>
        </w:tc>
      </w:tr>
      <w:tr w14:paraId="5A4C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34DAF5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vMerge w:val="continue"/>
            <w:vAlign w:val="center"/>
          </w:tcPr>
          <w:p w14:paraId="4F1894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7CFC6C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3F92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35B9B3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vMerge w:val="continue"/>
            <w:vAlign w:val="center"/>
          </w:tcPr>
          <w:p w14:paraId="302B03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7D2455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39FD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791AE0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vMerge w:val="continue"/>
            <w:vAlign w:val="center"/>
          </w:tcPr>
          <w:p w14:paraId="173131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554BF7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242E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restart"/>
            <w:shd w:val="clear" w:color="auto" w:fill="auto"/>
            <w:vAlign w:val="center"/>
          </w:tcPr>
          <w:p w14:paraId="3C5B2C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 xml:space="preserve">积极表现加分 </w:t>
            </w:r>
            <w:r>
              <w:rPr>
                <w:rFonts w:hint="eastAsia" w:ascii="Times New Roman" w:hAnsi="Times New Roman" w:eastAsia="仿宋_GB2312" w:cs="Times New Roman"/>
                <w:color w:val="auto"/>
                <w:kern w:val="0"/>
                <w:sz w:val="24"/>
                <w:szCs w:val="24"/>
              </w:rPr>
              <w:br w:type="textWrapping"/>
            </w:r>
            <w:r>
              <w:rPr>
                <w:rFonts w:hint="eastAsia" w:ascii="Times New Roman" w:hAnsi="Times New Roman" w:eastAsia="仿宋_GB2312" w:cs="Times New Roman"/>
                <w:color w:val="auto"/>
                <w:kern w:val="0"/>
                <w:sz w:val="24"/>
                <w:szCs w:val="24"/>
              </w:rPr>
              <w:t>（经相关职能部门或学院认定）</w:t>
            </w:r>
          </w:p>
        </w:tc>
        <w:tc>
          <w:tcPr>
            <w:tcW w:w="2015" w:type="dxa"/>
            <w:vMerge w:val="restart"/>
            <w:shd w:val="clear" w:color="auto" w:fill="auto"/>
            <w:vAlign w:val="center"/>
          </w:tcPr>
          <w:p w14:paraId="10D7A6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在服务社会奉献社会方面表现突出</w:t>
            </w:r>
          </w:p>
        </w:tc>
        <w:tc>
          <w:tcPr>
            <w:tcW w:w="3171" w:type="dxa"/>
            <w:vMerge w:val="restart"/>
            <w:shd w:val="clear" w:color="auto" w:fill="auto"/>
            <w:vAlign w:val="center"/>
          </w:tcPr>
          <w:p w14:paraId="3C1619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事迹特别突出、有重大影响（如获见义勇为荣誉称号、捐献造血干细胞等）</w:t>
            </w:r>
          </w:p>
        </w:tc>
        <w:tc>
          <w:tcPr>
            <w:tcW w:w="1141" w:type="dxa"/>
            <w:vMerge w:val="restart"/>
            <w:shd w:val="clear" w:color="auto" w:fill="auto"/>
            <w:noWrap/>
            <w:vAlign w:val="center"/>
          </w:tcPr>
          <w:p w14:paraId="36EE42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30</w:t>
            </w:r>
          </w:p>
        </w:tc>
      </w:tr>
      <w:tr w14:paraId="1ED2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23590C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2A4E4E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191705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233CBE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6B6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1B6C62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281D22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00D39F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51A339F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22E3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32699A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184910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4604A4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3B3A27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4DA6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065B4E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77E15C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restart"/>
            <w:shd w:val="clear" w:color="auto" w:fill="auto"/>
            <w:vAlign w:val="center"/>
          </w:tcPr>
          <w:p w14:paraId="1BAA50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事迹突出、有较大影响的（如在抢险救灾等应急事件处置中表现突出等），并接受表彰和报道</w:t>
            </w:r>
          </w:p>
        </w:tc>
        <w:tc>
          <w:tcPr>
            <w:tcW w:w="1141" w:type="dxa"/>
            <w:vMerge w:val="restart"/>
            <w:shd w:val="clear" w:color="auto" w:fill="auto"/>
            <w:noWrap/>
            <w:vAlign w:val="center"/>
          </w:tcPr>
          <w:p w14:paraId="6FE1B5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15</w:t>
            </w:r>
          </w:p>
        </w:tc>
      </w:tr>
      <w:tr w14:paraId="048F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06E5C0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37095E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7D766A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42D82B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433A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15CDE9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178031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2C07D6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43CADB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48DA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255600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6F62B8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39400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6927DF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018D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6F7EEE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7393C9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restart"/>
            <w:shd w:val="clear" w:color="auto" w:fill="auto"/>
            <w:vAlign w:val="center"/>
          </w:tcPr>
          <w:p w14:paraId="07A372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事迹比较突出、有一定影响的（如拾金不昧、无偿献血等），采纳并接受表彰或报道</w:t>
            </w:r>
          </w:p>
        </w:tc>
        <w:tc>
          <w:tcPr>
            <w:tcW w:w="1141" w:type="dxa"/>
            <w:vMerge w:val="restart"/>
            <w:shd w:val="clear" w:color="auto" w:fill="auto"/>
            <w:noWrap/>
            <w:vAlign w:val="center"/>
          </w:tcPr>
          <w:p w14:paraId="246013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5</w:t>
            </w:r>
          </w:p>
        </w:tc>
      </w:tr>
      <w:tr w14:paraId="4A00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25ACB6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6DDDF2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76BEF4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16C49F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764C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165A1B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19DBA8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1AC8DB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26A111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08A2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000D33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158F7E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3D0019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47DD20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1172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536" w:type="dxa"/>
            <w:vMerge w:val="continue"/>
            <w:vAlign w:val="center"/>
          </w:tcPr>
          <w:p w14:paraId="67853F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restart"/>
            <w:shd w:val="clear" w:color="auto" w:fill="auto"/>
            <w:vAlign w:val="center"/>
          </w:tcPr>
          <w:p w14:paraId="7DF16F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参与重大活动服务保障</w:t>
            </w:r>
          </w:p>
        </w:tc>
        <w:tc>
          <w:tcPr>
            <w:tcW w:w="3171" w:type="dxa"/>
            <w:shd w:val="clear" w:color="auto" w:fill="auto"/>
            <w:noWrap/>
            <w:vAlign w:val="center"/>
          </w:tcPr>
          <w:p w14:paraId="324FD2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国家级</w:t>
            </w:r>
          </w:p>
        </w:tc>
        <w:tc>
          <w:tcPr>
            <w:tcW w:w="1141" w:type="dxa"/>
            <w:shd w:val="clear" w:color="auto" w:fill="auto"/>
            <w:noWrap/>
            <w:vAlign w:val="center"/>
          </w:tcPr>
          <w:p w14:paraId="3B449C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10</w:t>
            </w:r>
          </w:p>
        </w:tc>
      </w:tr>
      <w:tr w14:paraId="5205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004227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050147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restart"/>
            <w:shd w:val="clear" w:color="auto" w:fill="auto"/>
            <w:noWrap/>
            <w:vAlign w:val="center"/>
          </w:tcPr>
          <w:p w14:paraId="1D1ADB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省部级</w:t>
            </w:r>
          </w:p>
        </w:tc>
        <w:tc>
          <w:tcPr>
            <w:tcW w:w="1141" w:type="dxa"/>
            <w:vMerge w:val="restart"/>
            <w:shd w:val="clear" w:color="auto" w:fill="auto"/>
            <w:noWrap/>
            <w:vAlign w:val="center"/>
          </w:tcPr>
          <w:p w14:paraId="2A73FC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r>
      <w:tr w14:paraId="687F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47A4B1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144CFA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682A0E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30705C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18FB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0BAB0E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restart"/>
            <w:shd w:val="clear" w:color="auto" w:fill="auto"/>
            <w:noWrap/>
            <w:vAlign w:val="center"/>
          </w:tcPr>
          <w:p w14:paraId="3C647C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参与宣讲</w:t>
            </w:r>
          </w:p>
        </w:tc>
        <w:tc>
          <w:tcPr>
            <w:tcW w:w="3171" w:type="dxa"/>
            <w:shd w:val="clear" w:color="auto" w:fill="auto"/>
            <w:noWrap/>
            <w:vAlign w:val="center"/>
          </w:tcPr>
          <w:p w14:paraId="760F28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国家级</w:t>
            </w:r>
          </w:p>
        </w:tc>
        <w:tc>
          <w:tcPr>
            <w:tcW w:w="1141" w:type="dxa"/>
            <w:shd w:val="clear" w:color="auto" w:fill="auto"/>
            <w:noWrap/>
            <w:vAlign w:val="center"/>
          </w:tcPr>
          <w:p w14:paraId="3E8701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8</w:t>
            </w:r>
          </w:p>
        </w:tc>
      </w:tr>
      <w:tr w14:paraId="1B46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15F09D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4AE2FD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0136D3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省部级</w:t>
            </w:r>
          </w:p>
        </w:tc>
        <w:tc>
          <w:tcPr>
            <w:tcW w:w="1141" w:type="dxa"/>
            <w:shd w:val="clear" w:color="auto" w:fill="auto"/>
            <w:noWrap/>
            <w:vAlign w:val="center"/>
          </w:tcPr>
          <w:p w14:paraId="2F5950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r>
      <w:tr w14:paraId="4E42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7363ED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5BAE3C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shd w:val="clear" w:color="auto" w:fill="auto"/>
            <w:noWrap/>
            <w:vAlign w:val="center"/>
          </w:tcPr>
          <w:p w14:paraId="465B4D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校级</w:t>
            </w:r>
          </w:p>
        </w:tc>
        <w:tc>
          <w:tcPr>
            <w:tcW w:w="1141" w:type="dxa"/>
            <w:shd w:val="clear" w:color="auto" w:fill="auto"/>
            <w:noWrap/>
            <w:vAlign w:val="center"/>
          </w:tcPr>
          <w:p w14:paraId="37C6B8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r>
      <w:tr w14:paraId="37C1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5CC068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restart"/>
            <w:shd w:val="clear" w:color="auto" w:fill="auto"/>
            <w:vAlign w:val="center"/>
          </w:tcPr>
          <w:p w14:paraId="5C67DE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积极为学校事业发展做贡献</w:t>
            </w:r>
          </w:p>
        </w:tc>
        <w:tc>
          <w:tcPr>
            <w:tcW w:w="3171" w:type="dxa"/>
            <w:shd w:val="clear" w:color="auto" w:fill="auto"/>
            <w:noWrap/>
            <w:vAlign w:val="center"/>
          </w:tcPr>
          <w:p w14:paraId="17C55D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 xml:space="preserve">积极建言献策被采纳 </w:t>
            </w:r>
          </w:p>
        </w:tc>
        <w:tc>
          <w:tcPr>
            <w:tcW w:w="1141" w:type="dxa"/>
            <w:shd w:val="clear" w:color="auto" w:fill="auto"/>
            <w:noWrap/>
            <w:vAlign w:val="center"/>
          </w:tcPr>
          <w:p w14:paraId="0997DF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r>
      <w:tr w14:paraId="77F2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1C9106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02AE11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restart"/>
            <w:shd w:val="clear" w:color="auto" w:fill="auto"/>
            <w:vAlign w:val="center"/>
          </w:tcPr>
          <w:p w14:paraId="6ADB7A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发现校园内安全隐患并及时拨打大学城派出所24小时值班电话（0990-6609110）上报，采纳并接受表彰和报道</w:t>
            </w:r>
          </w:p>
        </w:tc>
        <w:tc>
          <w:tcPr>
            <w:tcW w:w="1141" w:type="dxa"/>
            <w:vMerge w:val="restart"/>
            <w:shd w:val="clear" w:color="auto" w:fill="auto"/>
            <w:noWrap/>
            <w:vAlign w:val="center"/>
          </w:tcPr>
          <w:p w14:paraId="00F4FA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r>
      <w:tr w14:paraId="2612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36BECA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5077F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253EB4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71ABA6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026C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369C08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2015" w:type="dxa"/>
            <w:vMerge w:val="continue"/>
            <w:vAlign w:val="center"/>
          </w:tcPr>
          <w:p w14:paraId="1AFDF8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3171" w:type="dxa"/>
            <w:vMerge w:val="continue"/>
            <w:vAlign w:val="center"/>
          </w:tcPr>
          <w:p w14:paraId="1C37F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2A0501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593C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0D6650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vMerge w:val="restart"/>
            <w:shd w:val="clear" w:color="auto" w:fill="auto"/>
            <w:vAlign w:val="center"/>
          </w:tcPr>
          <w:p w14:paraId="2938B2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参加官方组织的国际交流项目、会议或活动，提升学校影响力和美誉度</w:t>
            </w:r>
          </w:p>
        </w:tc>
        <w:tc>
          <w:tcPr>
            <w:tcW w:w="1141" w:type="dxa"/>
            <w:vMerge w:val="restart"/>
            <w:shd w:val="clear" w:color="auto" w:fill="auto"/>
            <w:noWrap/>
            <w:vAlign w:val="center"/>
          </w:tcPr>
          <w:p w14:paraId="7F15B0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r>
      <w:tr w14:paraId="76BA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096733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vMerge w:val="continue"/>
            <w:vAlign w:val="center"/>
          </w:tcPr>
          <w:p w14:paraId="573118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1179C8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2D99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6F4F31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vMerge w:val="restart"/>
            <w:shd w:val="clear" w:color="auto" w:fill="auto"/>
            <w:vAlign w:val="center"/>
          </w:tcPr>
          <w:p w14:paraId="4C25D3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担任学校学业辅导员、朋辈辅导员并考核合格</w:t>
            </w:r>
          </w:p>
        </w:tc>
        <w:tc>
          <w:tcPr>
            <w:tcW w:w="1141" w:type="dxa"/>
            <w:vMerge w:val="restart"/>
            <w:shd w:val="clear" w:color="auto" w:fill="auto"/>
            <w:noWrap/>
            <w:vAlign w:val="center"/>
          </w:tcPr>
          <w:p w14:paraId="6222E1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r>
      <w:tr w14:paraId="7D4B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36" w:type="dxa"/>
            <w:vMerge w:val="continue"/>
            <w:vAlign w:val="center"/>
          </w:tcPr>
          <w:p w14:paraId="7D92B9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vMerge w:val="continue"/>
            <w:vAlign w:val="center"/>
          </w:tcPr>
          <w:p w14:paraId="00ECCA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1141" w:type="dxa"/>
            <w:vMerge w:val="continue"/>
            <w:vAlign w:val="center"/>
          </w:tcPr>
          <w:p w14:paraId="172BE7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r>
      <w:tr w14:paraId="3B48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36" w:type="dxa"/>
            <w:vMerge w:val="continue"/>
            <w:vAlign w:val="center"/>
          </w:tcPr>
          <w:p w14:paraId="4F01A5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p>
        </w:tc>
        <w:tc>
          <w:tcPr>
            <w:tcW w:w="5186" w:type="dxa"/>
            <w:gridSpan w:val="2"/>
            <w:shd w:val="clear" w:color="auto" w:fill="auto"/>
            <w:noWrap/>
            <w:vAlign w:val="center"/>
          </w:tcPr>
          <w:p w14:paraId="0D41EA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考取专业相关证书</w:t>
            </w:r>
          </w:p>
        </w:tc>
        <w:tc>
          <w:tcPr>
            <w:tcW w:w="1141" w:type="dxa"/>
            <w:shd w:val="clear" w:color="auto" w:fill="auto"/>
            <w:noWrap/>
            <w:vAlign w:val="center"/>
          </w:tcPr>
          <w:p w14:paraId="34C6AD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r>
    </w:tbl>
    <w:p w14:paraId="1E752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被评为先进集体的，院级优秀班集体每人加2</w:t>
      </w:r>
      <w:r>
        <w:rPr>
          <w:rFonts w:hint="eastAsia" w:ascii="Times New Roman" w:hAnsi="Times New Roman" w:eastAsia="仿宋_GB2312"/>
          <w:color w:val="auto"/>
          <w:sz w:val="32"/>
          <w:szCs w:val="32"/>
          <w:lang w:val="en-US" w:eastAsia="zh-CN"/>
        </w:rPr>
        <w:t>分</w:t>
      </w:r>
      <w:r>
        <w:rPr>
          <w:rFonts w:hint="eastAsia" w:ascii="Times New Roman" w:hAnsi="Times New Roman" w:eastAsia="仿宋_GB2312"/>
          <w:color w:val="auto"/>
          <w:sz w:val="32"/>
          <w:szCs w:val="32"/>
        </w:rPr>
        <w:t>，校级先进班集体每人加3分，校级示范班集体每人加4分，市级每人加5分，省部级每人加8分，国家级每人加15分；被评为先进党、团支部的党员、团员也按上述标准加分。当学年出现成绩不及格或获得处分者，不参与集体加分</w:t>
      </w:r>
      <w:r>
        <w:rPr>
          <w:rFonts w:hint="eastAsia" w:ascii="Times New Roman" w:hAnsi="Times New Roman" w:eastAsia="仿宋_GB2312"/>
          <w:color w:val="auto"/>
          <w:sz w:val="32"/>
          <w:szCs w:val="32"/>
          <w:lang w:eastAsia="zh-CN"/>
        </w:rPr>
        <w:t>。</w:t>
      </w:r>
    </w:p>
    <w:p w14:paraId="782EC5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学年内智育成绩排名在同年级同专业中比上一学年度</w:t>
      </w:r>
      <w:bookmarkStart w:id="1" w:name="OLE_LINK6"/>
      <w:r>
        <w:rPr>
          <w:rFonts w:hint="eastAsia" w:ascii="Times New Roman" w:hAnsi="Times New Roman" w:eastAsia="仿宋_GB2312"/>
          <w:color w:val="auto"/>
          <w:sz w:val="32"/>
          <w:szCs w:val="32"/>
        </w:rPr>
        <w:t>提高</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10%</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含）</w:t>
      </w:r>
      <w:r>
        <w:rPr>
          <w:rFonts w:hint="eastAsia" w:ascii="Times New Roman" w:hAnsi="Times New Roman" w:eastAsia="仿宋_GB2312"/>
          <w:color w:val="auto"/>
          <w:sz w:val="32"/>
          <w:szCs w:val="32"/>
        </w:rPr>
        <w:t>，加1分；</w:t>
      </w:r>
      <w:bookmarkEnd w:id="1"/>
      <w:r>
        <w:rPr>
          <w:rFonts w:hint="eastAsia" w:ascii="Times New Roman" w:hAnsi="Times New Roman" w:eastAsia="仿宋_GB2312"/>
          <w:color w:val="auto"/>
          <w:sz w:val="32"/>
          <w:szCs w:val="32"/>
        </w:rPr>
        <w:t>提高</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20%</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含）</w:t>
      </w:r>
      <w:r>
        <w:rPr>
          <w:rFonts w:hint="eastAsia" w:ascii="Times New Roman" w:hAnsi="Times New Roman" w:eastAsia="仿宋_GB2312"/>
          <w:color w:val="auto"/>
          <w:sz w:val="32"/>
          <w:szCs w:val="32"/>
        </w:rPr>
        <w:t>，加</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分；提高</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30%</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含）</w:t>
      </w:r>
      <w:r>
        <w:rPr>
          <w:rFonts w:hint="eastAsia" w:ascii="Times New Roman" w:hAnsi="Times New Roman" w:eastAsia="仿宋_GB2312"/>
          <w:color w:val="auto"/>
          <w:sz w:val="32"/>
          <w:szCs w:val="32"/>
        </w:rPr>
        <w:t>，加</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分；提高</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rPr>
        <w:t>40%</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含）</w:t>
      </w:r>
      <w:r>
        <w:rPr>
          <w:rFonts w:hint="eastAsia" w:ascii="Times New Roman" w:hAnsi="Times New Roman" w:eastAsia="仿宋_GB2312"/>
          <w:color w:val="auto"/>
          <w:sz w:val="32"/>
          <w:szCs w:val="32"/>
        </w:rPr>
        <w:t>，加</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分；</w:t>
      </w:r>
      <w:r>
        <w:rPr>
          <w:rFonts w:hint="eastAsia" w:ascii="Times New Roman" w:hAnsi="Times New Roman" w:eastAsia="仿宋_GB2312"/>
          <w:color w:val="auto"/>
          <w:kern w:val="0"/>
          <w:sz w:val="32"/>
          <w:szCs w:val="32"/>
        </w:rPr>
        <w:t>提高</w:t>
      </w:r>
      <w:r>
        <w:rPr>
          <w:rFonts w:hint="eastAsia" w:ascii="Times New Roman" w:hAnsi="Times New Roman" w:eastAsia="仿宋_GB2312"/>
          <w:color w:val="auto"/>
          <w:kern w:val="0"/>
          <w:sz w:val="32"/>
          <w:szCs w:val="32"/>
          <w:lang w:val="en-US" w:eastAsia="zh-CN"/>
        </w:rPr>
        <w:t>40%-</w:t>
      </w:r>
      <w:r>
        <w:rPr>
          <w:rFonts w:hint="eastAsia" w:ascii="Times New Roman" w:hAnsi="Times New Roman" w:eastAsia="仿宋_GB2312"/>
          <w:color w:val="auto"/>
          <w:kern w:val="0"/>
          <w:sz w:val="32"/>
          <w:szCs w:val="32"/>
        </w:rPr>
        <w:t>50%</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含）</w:t>
      </w:r>
      <w:r>
        <w:rPr>
          <w:rFonts w:hint="eastAsia" w:ascii="Times New Roman" w:hAnsi="Times New Roman" w:eastAsia="仿宋_GB2312"/>
          <w:color w:val="auto"/>
          <w:kern w:val="0"/>
          <w:sz w:val="32"/>
          <w:szCs w:val="32"/>
        </w:rPr>
        <w:t>，加</w:t>
      </w:r>
      <w:r>
        <w:rPr>
          <w:rFonts w:hint="eastAsia" w:ascii="Times New Roman" w:hAnsi="Times New Roman" w:eastAsia="仿宋_GB2312"/>
          <w:color w:val="auto"/>
          <w:kern w:val="0"/>
          <w:sz w:val="32"/>
          <w:szCs w:val="32"/>
          <w:lang w:val="en-US" w:eastAsia="zh-CN"/>
        </w:rPr>
        <w:t>9</w:t>
      </w:r>
      <w:r>
        <w:rPr>
          <w:rFonts w:hint="eastAsia" w:ascii="Times New Roman" w:hAnsi="Times New Roman" w:eastAsia="仿宋_GB2312"/>
          <w:color w:val="auto"/>
          <w:kern w:val="0"/>
          <w:sz w:val="32"/>
          <w:szCs w:val="32"/>
        </w:rPr>
        <w:t>分；提高</w:t>
      </w:r>
      <w:r>
        <w:rPr>
          <w:rFonts w:hint="eastAsia" w:ascii="Times New Roman" w:hAnsi="Times New Roman" w:eastAsia="仿宋_GB2312"/>
          <w:color w:val="auto"/>
          <w:kern w:val="0"/>
          <w:sz w:val="32"/>
          <w:szCs w:val="32"/>
          <w:lang w:val="en-US" w:eastAsia="zh-CN"/>
        </w:rPr>
        <w:t>大于50%，加10分</w:t>
      </w:r>
      <w:r>
        <w:rPr>
          <w:rFonts w:hint="eastAsia" w:ascii="Times New Roman" w:hAnsi="Times New Roman" w:eastAsia="仿宋_GB2312"/>
          <w:color w:val="auto"/>
          <w:sz w:val="32"/>
          <w:szCs w:val="32"/>
        </w:rPr>
        <w:t>。</w:t>
      </w:r>
    </w:p>
    <w:p w14:paraId="667F348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rPr>
        <w:t>2.学生社会工作</w:t>
      </w:r>
    </w:p>
    <w:p w14:paraId="0291AF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担任学生干部或其它职务，任期满一学年</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含，下同</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以上，根据其工作表现，按下述标准酌情加分</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兼职学生干部按主职岗位计分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14:paraId="5F9FB6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学生社会工作以一学年为任期标准进行考核并加分，不满一年者视工作表现</w:t>
      </w:r>
      <w:r>
        <w:rPr>
          <w:rFonts w:hint="eastAsia" w:ascii="Times New Roman" w:hAnsi="Times New Roman" w:eastAsia="仿宋_GB2312"/>
          <w:color w:val="auto"/>
          <w:sz w:val="32"/>
          <w:szCs w:val="32"/>
        </w:rPr>
        <w:t>情况不予加分或按任职时长折算加分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因疾病住院等不可抗因素学年中不再担任班委的，可按照月份折算加分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因违纪、工作态度懈怠等原因中途卸任的不加分。在各级学生组织、学生工作机构、学生社团、党支部、团支部和班级中，坚持服务同学，认真履职尽责，突出服务贡献，切实完成各项工作的，根据各组织的相应规定按考核结果加分。</w:t>
      </w:r>
    </w:p>
    <w:p w14:paraId="5E87E5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校级学生组织和校级学生工作机构的成员由校团委负责考核，</w:t>
      </w:r>
      <w:r>
        <w:rPr>
          <w:rFonts w:hint="eastAsia" w:ascii="Times New Roman" w:hAnsi="Times New Roman" w:eastAsia="仿宋_GB2312"/>
          <w:color w:val="auto"/>
          <w:sz w:val="32"/>
          <w:szCs w:val="32"/>
        </w:rPr>
        <w:t>打</w:t>
      </w:r>
      <w:r>
        <w:rPr>
          <w:rFonts w:ascii="Times New Roman" w:hAnsi="Times New Roman" w:eastAsia="仿宋_GB2312"/>
          <w:color w:val="auto"/>
          <w:sz w:val="32"/>
          <w:szCs w:val="32"/>
        </w:rPr>
        <w:t>分标</w:t>
      </w:r>
      <w:r>
        <w:rPr>
          <w:rFonts w:hint="eastAsia" w:ascii="Times New Roman" w:hAnsi="Times New Roman" w:eastAsia="仿宋_GB2312"/>
          <w:color w:val="auto"/>
          <w:sz w:val="32"/>
          <w:szCs w:val="32"/>
        </w:rPr>
        <w:t>准为</w:t>
      </w:r>
      <w:r>
        <w:rPr>
          <w:rFonts w:ascii="Times New Roman" w:hAnsi="Times New Roman" w:eastAsia="仿宋_GB2312"/>
          <w:color w:val="auto"/>
          <w:sz w:val="32"/>
          <w:szCs w:val="32"/>
        </w:rPr>
        <w:t>0-12分</w:t>
      </w:r>
      <w:r>
        <w:rPr>
          <w:rFonts w:hint="eastAsia" w:ascii="Times New Roman" w:hAnsi="Times New Roman" w:eastAsia="仿宋_GB2312"/>
          <w:color w:val="auto"/>
          <w:sz w:val="32"/>
          <w:szCs w:val="32"/>
        </w:rPr>
        <w:t>，正副主席在打分基础上乘5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进行加分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正副部长</w:t>
      </w:r>
      <w:r>
        <w:rPr>
          <w:rFonts w:hint="eastAsia" w:ascii="Times New Roman" w:hAnsi="Times New Roman" w:eastAsia="仿宋_GB2312"/>
          <w:color w:val="auto"/>
          <w:sz w:val="32"/>
          <w:szCs w:val="32"/>
        </w:rPr>
        <w:t>在打分基础上乘3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进行加分</w:t>
      </w:r>
      <w:r>
        <w:rPr>
          <w:rFonts w:hint="eastAsia" w:ascii="Times New Roman" w:hAnsi="Times New Roman" w:eastAsia="仿宋_GB2312"/>
          <w:color w:val="auto"/>
          <w:sz w:val="32"/>
          <w:szCs w:val="32"/>
        </w:rPr>
        <w:t>、部委在打分基础上乘2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进行加分；院级学生组织及工作机构的成员、各党团班学生干部由各学院负责</w:t>
      </w:r>
      <w:r>
        <w:rPr>
          <w:rFonts w:hint="eastAsia" w:ascii="Times New Roman" w:hAnsi="Times New Roman" w:eastAsia="仿宋_GB2312"/>
          <w:color w:val="auto"/>
          <w:sz w:val="32"/>
          <w:szCs w:val="32"/>
        </w:rPr>
        <w:t>考核并加分，加分标准为正副主席</w:t>
      </w:r>
      <w:r>
        <w:rPr>
          <w:rFonts w:ascii="Times New Roman" w:hAnsi="Times New Roman" w:eastAsia="仿宋_GB2312"/>
          <w:color w:val="auto"/>
          <w:sz w:val="32"/>
          <w:szCs w:val="32"/>
        </w:rPr>
        <w:t>0-10分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正副部长0-6分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部委0-4分</w:t>
      </w:r>
      <w:r>
        <w:rPr>
          <w:rFonts w:hint="eastAsia" w:ascii="Times New Roman" w:hAnsi="Times New Roman" w:eastAsia="仿宋_GB2312"/>
          <w:color w:val="auto"/>
          <w:sz w:val="32"/>
          <w:szCs w:val="32"/>
        </w:rPr>
        <w:t>；校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院学生社团的成员根据所在社团上一年度考核评定结果加分，加分标准为正副主席</w:t>
      </w:r>
      <w:r>
        <w:rPr>
          <w:rFonts w:ascii="Times New Roman" w:hAnsi="Times New Roman" w:eastAsia="仿宋_GB2312"/>
          <w:color w:val="auto"/>
          <w:sz w:val="32"/>
          <w:szCs w:val="32"/>
        </w:rPr>
        <w:t>0-8分；正副部长0-5分；部委0-3分。</w:t>
      </w:r>
    </w:p>
    <w:p w14:paraId="5610C5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（3）班长、团支部书记、</w:t>
      </w:r>
      <w:r>
        <w:rPr>
          <w:rFonts w:hint="eastAsia" w:ascii="Times New Roman" w:hAnsi="Times New Roman" w:eastAsia="仿宋_GB2312"/>
          <w:color w:val="auto"/>
          <w:sz w:val="32"/>
          <w:szCs w:val="32"/>
          <w:lang w:val="en-US" w:eastAsia="zh-CN"/>
        </w:rPr>
        <w:t>辅导员助理</w:t>
      </w:r>
      <w:r>
        <w:rPr>
          <w:rFonts w:hint="eastAsia" w:ascii="Times New Roman" w:hAnsi="Times New Roman" w:eastAsia="仿宋_GB2312"/>
          <w:color w:val="auto"/>
          <w:sz w:val="32"/>
          <w:szCs w:val="32"/>
        </w:rPr>
        <w:t>计0-</w:t>
      </w:r>
      <w:r>
        <w:rPr>
          <w:rFonts w:ascii="Times New Roman" w:hAnsi="Times New Roman" w:eastAsia="仿宋_GB2312"/>
          <w:color w:val="auto"/>
          <w:sz w:val="32"/>
          <w:szCs w:val="32"/>
        </w:rPr>
        <w:t>6分</w:t>
      </w:r>
      <w:r>
        <w:rPr>
          <w:rFonts w:hint="eastAsia" w:ascii="Times New Roman" w:hAnsi="Times New Roman" w:eastAsia="仿宋_GB2312"/>
          <w:color w:val="auto"/>
          <w:sz w:val="32"/>
          <w:szCs w:val="32"/>
        </w:rPr>
        <w:t>；班委、团支部委员计0-</w:t>
      </w:r>
      <w:r>
        <w:rPr>
          <w:rFonts w:ascii="Times New Roman" w:hAnsi="Times New Roman" w:eastAsia="仿宋_GB2312"/>
          <w:color w:val="auto"/>
          <w:sz w:val="32"/>
          <w:szCs w:val="32"/>
        </w:rPr>
        <w:t>4分</w:t>
      </w:r>
      <w:r>
        <w:rPr>
          <w:rFonts w:hint="eastAsia" w:ascii="Times New Roman" w:hAnsi="Times New Roman" w:eastAsia="仿宋_GB2312"/>
          <w:color w:val="auto"/>
          <w:sz w:val="32"/>
          <w:szCs w:val="32"/>
        </w:rPr>
        <w:t>；单元长、寝室长</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课代表</w:t>
      </w:r>
      <w:r>
        <w:rPr>
          <w:rFonts w:hint="eastAsia" w:ascii="Times New Roman" w:hAnsi="Times New Roman" w:eastAsia="仿宋_GB2312"/>
          <w:color w:val="auto"/>
          <w:sz w:val="32"/>
          <w:szCs w:val="32"/>
        </w:rPr>
        <w:t>计0-3</w:t>
      </w:r>
      <w:r>
        <w:rPr>
          <w:rFonts w:ascii="Times New Roman" w:hAnsi="Times New Roman" w:eastAsia="仿宋_GB2312"/>
          <w:color w:val="auto"/>
          <w:sz w:val="32"/>
          <w:szCs w:val="32"/>
        </w:rPr>
        <w:t>分</w:t>
      </w:r>
      <w:r>
        <w:rPr>
          <w:rFonts w:hint="eastAsia" w:ascii="Times New Roman" w:hAnsi="Times New Roman" w:eastAsia="仿宋_GB2312"/>
          <w:color w:val="auto"/>
          <w:sz w:val="32"/>
          <w:szCs w:val="32"/>
        </w:rPr>
        <w:t>。</w:t>
      </w:r>
    </w:p>
    <w:p w14:paraId="21C0BF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担任多个学生干部职务的，最多可累加2项，第二项职务加分乘上0.5的系数</w:t>
      </w:r>
      <w:r>
        <w:rPr>
          <w:rFonts w:hint="eastAsia" w:ascii="Times New Roman" w:hAnsi="Times New Roman" w:eastAsia="仿宋_GB2312"/>
          <w:color w:val="auto"/>
          <w:sz w:val="32"/>
          <w:szCs w:val="32"/>
        </w:rPr>
        <w:t>后累加。</w:t>
      </w:r>
    </w:p>
    <w:p w14:paraId="7A2E322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rPr>
        <w:t>3.扣分</w:t>
      </w:r>
    </w:p>
    <w:p w14:paraId="6405EE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（1）旷课、旷早晚自习（早操）者，每次扣</w:t>
      </w:r>
      <w:r>
        <w:rPr>
          <w:rFonts w:ascii="Times New Roman" w:hAnsi="Times New Roman" w:eastAsia="仿宋_GB2312"/>
          <w:color w:val="auto"/>
          <w:sz w:val="32"/>
          <w:szCs w:val="32"/>
        </w:rPr>
        <w:t>1分；迟到、早退者，每次扣0.5分（包括各种考勤活动及开会）。</w:t>
      </w:r>
    </w:p>
    <w:p w14:paraId="5CEB26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（2）因违反有关规定</w:t>
      </w:r>
      <w:r>
        <w:rPr>
          <w:rFonts w:hint="eastAsia" w:ascii="Times New Roman" w:hAnsi="Times New Roman" w:eastAsia="仿宋_GB2312"/>
          <w:color w:val="auto"/>
          <w:sz w:val="32"/>
          <w:szCs w:val="32"/>
          <w:lang w:val="en-US" w:eastAsia="zh-CN"/>
        </w:rPr>
        <w:t>被</w:t>
      </w:r>
      <w:r>
        <w:rPr>
          <w:rFonts w:hint="eastAsia" w:ascii="Times New Roman" w:hAnsi="Times New Roman" w:eastAsia="仿宋_GB2312"/>
          <w:color w:val="auto"/>
          <w:sz w:val="32"/>
          <w:szCs w:val="32"/>
        </w:rPr>
        <w:t>有关部门批评教育者（有通知备案的），每次扣</w:t>
      </w:r>
      <w:r>
        <w:rPr>
          <w:rFonts w:ascii="Times New Roman" w:hAnsi="Times New Roman" w:eastAsia="仿宋_GB2312"/>
          <w:color w:val="auto"/>
          <w:sz w:val="32"/>
          <w:szCs w:val="32"/>
        </w:rPr>
        <w:t>4分</w:t>
      </w:r>
      <w:r>
        <w:rPr>
          <w:rFonts w:hint="eastAsia" w:ascii="Times New Roman" w:hAnsi="Times New Roman" w:eastAsia="仿宋_GB2312"/>
          <w:color w:val="auto"/>
          <w:sz w:val="32"/>
          <w:szCs w:val="32"/>
        </w:rPr>
        <w:t>；通报批评扣</w:t>
      </w:r>
      <w:r>
        <w:rPr>
          <w:rFonts w:ascii="Times New Roman" w:hAnsi="Times New Roman" w:eastAsia="仿宋_GB2312"/>
          <w:color w:val="auto"/>
          <w:sz w:val="32"/>
          <w:szCs w:val="32"/>
        </w:rPr>
        <w:t>10分；</w:t>
      </w:r>
      <w:r>
        <w:rPr>
          <w:rFonts w:hint="eastAsia" w:ascii="Times New Roman" w:hAnsi="Times New Roman" w:eastAsia="仿宋_GB2312"/>
          <w:color w:val="auto"/>
          <w:sz w:val="32"/>
          <w:szCs w:val="32"/>
        </w:rPr>
        <w:t>警告处分扣</w:t>
      </w:r>
      <w:r>
        <w:rPr>
          <w:rFonts w:ascii="Times New Roman" w:hAnsi="Times New Roman" w:eastAsia="仿宋_GB2312"/>
          <w:color w:val="auto"/>
          <w:sz w:val="32"/>
          <w:szCs w:val="32"/>
        </w:rPr>
        <w:t>15分；</w:t>
      </w:r>
      <w:r>
        <w:rPr>
          <w:rFonts w:hint="eastAsia" w:ascii="Times New Roman" w:hAnsi="Times New Roman" w:eastAsia="仿宋_GB2312"/>
          <w:color w:val="auto"/>
          <w:sz w:val="32"/>
          <w:szCs w:val="32"/>
        </w:rPr>
        <w:t>严重警告处分扣</w:t>
      </w:r>
      <w:r>
        <w:rPr>
          <w:rFonts w:ascii="Times New Roman" w:hAnsi="Times New Roman" w:eastAsia="仿宋_GB2312"/>
          <w:color w:val="auto"/>
          <w:sz w:val="32"/>
          <w:szCs w:val="32"/>
        </w:rPr>
        <w:t>25分；</w:t>
      </w:r>
      <w:r>
        <w:rPr>
          <w:rFonts w:hint="eastAsia" w:ascii="Times New Roman" w:hAnsi="Times New Roman" w:eastAsia="仿宋_GB2312"/>
          <w:color w:val="auto"/>
          <w:sz w:val="32"/>
          <w:szCs w:val="32"/>
        </w:rPr>
        <w:t>记过处分扣</w:t>
      </w:r>
      <w:r>
        <w:rPr>
          <w:rFonts w:ascii="Times New Roman" w:hAnsi="Times New Roman" w:eastAsia="仿宋_GB2312"/>
          <w:color w:val="auto"/>
          <w:sz w:val="32"/>
          <w:szCs w:val="32"/>
        </w:rPr>
        <w:t>35分；</w:t>
      </w:r>
      <w:r>
        <w:rPr>
          <w:rFonts w:hint="eastAsia" w:ascii="Times New Roman" w:hAnsi="Times New Roman" w:eastAsia="仿宋_GB2312"/>
          <w:color w:val="auto"/>
          <w:sz w:val="32"/>
          <w:szCs w:val="32"/>
        </w:rPr>
        <w:t>留校察看处分扣</w:t>
      </w:r>
      <w:r>
        <w:rPr>
          <w:rFonts w:ascii="Times New Roman" w:hAnsi="Times New Roman" w:eastAsia="仿宋_GB2312"/>
          <w:color w:val="auto"/>
          <w:sz w:val="32"/>
          <w:szCs w:val="32"/>
        </w:rPr>
        <w:t>55分；</w:t>
      </w:r>
      <w:r>
        <w:rPr>
          <w:rFonts w:hint="eastAsia" w:ascii="Times New Roman" w:hAnsi="Times New Roman" w:eastAsia="仿宋_GB2312"/>
          <w:color w:val="auto"/>
          <w:sz w:val="32"/>
          <w:szCs w:val="32"/>
        </w:rPr>
        <w:t>开除党籍、团籍处分，德育成绩按</w:t>
      </w:r>
      <w:r>
        <w:rPr>
          <w:rFonts w:ascii="Times New Roman" w:hAnsi="Times New Roman" w:eastAsia="仿宋_GB2312"/>
          <w:color w:val="auto"/>
          <w:sz w:val="32"/>
          <w:szCs w:val="32"/>
        </w:rPr>
        <w:t>0分计；</w:t>
      </w:r>
      <w:r>
        <w:rPr>
          <w:rFonts w:hint="eastAsia" w:ascii="Times New Roman" w:hAnsi="Times New Roman" w:eastAsia="仿宋_GB2312"/>
          <w:color w:val="auto"/>
          <w:sz w:val="32"/>
          <w:szCs w:val="32"/>
        </w:rPr>
        <w:t>受其他党团纪律处分，参照警告、严重警告、记过和留校察看处分</w:t>
      </w:r>
      <w:r>
        <w:rPr>
          <w:rFonts w:ascii="Times New Roman" w:hAnsi="Times New Roman" w:eastAsia="仿宋_GB2312"/>
          <w:color w:val="auto"/>
          <w:sz w:val="32"/>
          <w:szCs w:val="32"/>
        </w:rPr>
        <w:t>规定扣分；</w:t>
      </w:r>
      <w:r>
        <w:rPr>
          <w:rFonts w:hint="eastAsia" w:ascii="Times New Roman" w:hAnsi="Times New Roman" w:eastAsia="仿宋_GB2312"/>
          <w:color w:val="auto"/>
          <w:sz w:val="32"/>
          <w:szCs w:val="32"/>
        </w:rPr>
        <w:t>因受纪律处分而受党团纪律处分的，不重复扣分。</w:t>
      </w:r>
    </w:p>
    <w:p w14:paraId="78E87CF3">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四、智育测评</w:t>
      </w:r>
    </w:p>
    <w:p w14:paraId="66FC8A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智育成绩（100分）＝课程学习成绩（85分）＋智育加分（15分）。</w:t>
      </w:r>
    </w:p>
    <w:p w14:paraId="26884F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（一）智育基础分：课程学习成绩（85分）</w:t>
      </w:r>
    </w:p>
    <w:p w14:paraId="001BF2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课程学习成绩</w:t>
      </w:r>
      <w:r>
        <w:rPr>
          <w:rFonts w:hint="eastAsia" w:ascii="仿宋_GB2312" w:hAnsi="仿宋_GB2312" w:eastAsia="仿宋_GB2312" w:cs="仿宋_GB2312"/>
          <w:color w:val="auto"/>
          <w:sz w:val="32"/>
          <w:szCs w:val="32"/>
          <w:lang w:val="en-US" w:eastAsia="zh-CN"/>
        </w:rPr>
        <w:t>计算公式如下：</w:t>
      </w:r>
    </w:p>
    <w:p w14:paraId="6451F9FA">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仿宋" w:hAnsi="仿宋" w:eastAsia="仿宋"/>
          <w:color w:val="auto"/>
          <w:sz w:val="32"/>
          <w:szCs w:val="32"/>
          <w:lang w:val="en-US"/>
        </w:rPr>
      </w:pPr>
      <m:oMathPara>
        <m:oMath>
          <m:d>
            <m:dPr>
              <m:begChr m:val="["/>
              <m:endChr m:val="]"/>
              <m:ctrlPr>
                <w:rPr>
                  <w:rFonts w:hint="default" w:ascii="Cambria Math" w:hAnsi="Cambria Math" w:eastAsia="仿宋" w:cstheme="minorBidi"/>
                  <w:i w:val="0"/>
                  <w:color w:val="auto"/>
                  <w:kern w:val="2"/>
                  <w:sz w:val="32"/>
                  <w:szCs w:val="32"/>
                  <w:lang w:val="en-US" w:eastAsia="zh-CN" w:bidi="ar-SA"/>
                </w:rPr>
              </m:ctrlPr>
            </m:dPr>
            <m:e>
              <m:r>
                <m:rPr>
                  <m:sty m:val="p"/>
                </m:rPr>
                <w:rPr>
                  <w:rFonts w:hint="default" w:ascii="Cambria Math" w:hAnsi="Cambria Math" w:eastAsia="仿宋" w:cstheme="minorBidi"/>
                  <w:color w:val="auto"/>
                  <w:kern w:val="2"/>
                  <w:sz w:val="32"/>
                  <w:szCs w:val="32"/>
                  <w:lang w:val="en-US" w:eastAsia="zh-CN" w:bidi="ar-SA"/>
                </w:rPr>
                <m:t>0.9</m:t>
              </m:r>
              <m:f>
                <m:fPr>
                  <m:type m:val="lin"/>
                  <m:ctrlPr>
                    <w:rPr>
                      <w:rFonts w:hint="default" w:ascii="Cambria Math" w:hAnsi="Cambria Math" w:eastAsia="仿宋" w:cstheme="minorBidi"/>
                      <w:i/>
                      <w:iCs/>
                      <w:color w:val="auto"/>
                      <w:kern w:val="2"/>
                      <w:sz w:val="32"/>
                      <w:szCs w:val="32"/>
                      <w:lang w:val="en-US" w:eastAsia="zh-CN" w:bidi="ar-SA"/>
                    </w:rPr>
                  </m:ctrlPr>
                </m:fPr>
                <m:num>
                  <m:nary>
                    <m:naryPr>
                      <m:chr m:val="∑"/>
                      <m:limLoc m:val="undOvr"/>
                      <m:subHide m:val="1"/>
                      <m:supHide m:val="1"/>
                      <m:ctrlPr>
                        <w:rPr>
                          <w:rFonts w:hint="default" w:ascii="Cambria Math" w:hAnsi="Cambria Math" w:eastAsia="仿宋" w:cstheme="minorBidi"/>
                          <w:i/>
                          <w:iCs/>
                          <w:color w:val="auto"/>
                          <w:kern w:val="2"/>
                          <w:sz w:val="32"/>
                          <w:szCs w:val="32"/>
                          <w:lang w:val="en-US" w:eastAsia="zh-CN" w:bidi="ar-SA"/>
                        </w:rPr>
                      </m:ctrlPr>
                    </m:naryPr>
                    <m:sub>
                      <m:ctrlPr>
                        <w:rPr>
                          <w:rFonts w:hint="default" w:ascii="Cambria Math" w:hAnsi="Cambria Math" w:eastAsia="仿宋" w:cstheme="minorBidi"/>
                          <w:i/>
                          <w:iCs/>
                          <w:color w:val="auto"/>
                          <w:kern w:val="2"/>
                          <w:sz w:val="32"/>
                          <w:szCs w:val="32"/>
                          <w:lang w:val="en-US" w:eastAsia="zh-CN" w:bidi="ar-SA"/>
                        </w:rPr>
                      </m:ctrlPr>
                    </m:sub>
                    <m:sup>
                      <m:ctrlPr>
                        <w:rPr>
                          <w:rFonts w:hint="default" w:ascii="Cambria Math" w:hAnsi="Cambria Math" w:eastAsia="仿宋" w:cstheme="minorBidi"/>
                          <w:i/>
                          <w:iCs/>
                          <w:color w:val="auto"/>
                          <w:kern w:val="2"/>
                          <w:sz w:val="32"/>
                          <w:szCs w:val="32"/>
                          <w:lang w:val="en-US" w:eastAsia="zh-CN" w:bidi="ar-SA"/>
                        </w:rPr>
                      </m:ctrlPr>
                    </m:sup>
                    <m:e>
                      <m:d>
                        <m:dPr>
                          <m:ctrlPr>
                            <w:rPr>
                              <w:rFonts w:hint="default" w:ascii="Cambria Math" w:hAnsi="Cambria Math" w:eastAsia="仿宋" w:cstheme="minorBidi"/>
                              <w:i/>
                              <w:iCs/>
                              <w:color w:val="auto"/>
                              <w:kern w:val="2"/>
                              <w:sz w:val="32"/>
                              <w:szCs w:val="32"/>
                              <w:lang w:val="en-US" w:eastAsia="zh-CN" w:bidi="ar-SA"/>
                            </w:rPr>
                          </m:ctrlPr>
                        </m:dPr>
                        <m:e>
                          <m:sSub>
                            <m:sSubPr>
                              <m:ctrlPr>
                                <w:rPr>
                                  <w:rFonts w:hint="default" w:ascii="Cambria Math" w:hAnsi="Cambria Math" w:eastAsia="仿宋" w:cstheme="minorBidi"/>
                                  <w:i/>
                                  <w:iCs/>
                                  <w:color w:val="auto"/>
                                  <w:kern w:val="2"/>
                                  <w:sz w:val="32"/>
                                  <w:szCs w:val="32"/>
                                  <w:lang w:val="en-US" w:eastAsia="zh-CN" w:bidi="ar-SA"/>
                                </w:rPr>
                              </m:ctrlPr>
                            </m:sSubPr>
                            <m:e>
                              <m:r>
                                <m:rPr/>
                                <w:rPr>
                                  <w:rFonts w:hint="default" w:ascii="Cambria Math" w:hAnsi="Cambria Math" w:eastAsia="仿宋" w:cstheme="minorBidi"/>
                                  <w:color w:val="auto"/>
                                  <w:kern w:val="2"/>
                                  <w:sz w:val="32"/>
                                  <w:szCs w:val="32"/>
                                  <w:lang w:val="en-US" w:eastAsia="zh-CN" w:bidi="ar-SA"/>
                                </w:rPr>
                                <m:t>I</m:t>
                              </m:r>
                              <m:ctrlPr>
                                <w:rPr>
                                  <w:rFonts w:hint="default" w:ascii="Cambria Math" w:hAnsi="Cambria Math" w:eastAsia="仿宋" w:cstheme="minorBidi"/>
                                  <w:i/>
                                  <w:iCs/>
                                  <w:color w:val="auto"/>
                                  <w:kern w:val="2"/>
                                  <w:sz w:val="32"/>
                                  <w:szCs w:val="32"/>
                                  <w:lang w:val="en-US" w:eastAsia="zh-CN" w:bidi="ar-SA"/>
                                </w:rPr>
                              </m:ctrlPr>
                            </m:e>
                            <m:sub>
                              <m:r>
                                <m:rPr/>
                                <w:rPr>
                                  <w:rFonts w:hint="default" w:ascii="Cambria Math" w:hAnsi="Cambria Math" w:eastAsia="仿宋" w:cstheme="minorBidi"/>
                                  <w:color w:val="auto"/>
                                  <w:kern w:val="2"/>
                                  <w:sz w:val="32"/>
                                  <w:szCs w:val="32"/>
                                  <w:lang w:val="en-US" w:eastAsia="zh-CN" w:bidi="ar-SA"/>
                                </w:rPr>
                                <m:t>i</m:t>
                              </m:r>
                              <m:ctrlPr>
                                <w:rPr>
                                  <w:rFonts w:hint="default" w:ascii="Cambria Math" w:hAnsi="Cambria Math" w:eastAsia="仿宋" w:cstheme="minorBidi"/>
                                  <w:i/>
                                  <w:iCs/>
                                  <w:color w:val="auto"/>
                                  <w:kern w:val="2"/>
                                  <w:sz w:val="32"/>
                                  <w:szCs w:val="32"/>
                                  <w:lang w:val="en-US" w:eastAsia="zh-CN" w:bidi="ar-SA"/>
                                </w:rPr>
                              </m:ctrlPr>
                            </m:sub>
                          </m:sSub>
                          <m:r>
                            <m:rPr/>
                            <w:rPr>
                              <w:rFonts w:ascii="Cambria Math" w:hAnsi="Cambria Math" w:cstheme="minorBidi"/>
                              <w:color w:val="auto"/>
                              <w:kern w:val="2"/>
                              <w:sz w:val="32"/>
                              <w:szCs w:val="32"/>
                              <w:lang w:val="en-US" w:bidi="ar-SA"/>
                            </w:rPr>
                            <m:t>×</m:t>
                          </m:r>
                          <m:sSub>
                            <m:sSubPr>
                              <m:ctrlPr>
                                <w:rPr>
                                  <w:rFonts w:ascii="Cambria Math" w:hAnsi="Cambria Math" w:cstheme="minorBidi"/>
                                  <w:i/>
                                  <w:iCs/>
                                  <w:color w:val="auto"/>
                                  <w:kern w:val="2"/>
                                  <w:sz w:val="32"/>
                                  <w:szCs w:val="32"/>
                                  <w:lang w:val="en-US" w:bidi="ar-SA"/>
                                </w:rPr>
                              </m:ctrlPr>
                            </m:sSubPr>
                            <m:e>
                              <m:r>
                                <m:rPr/>
                                <w:rPr>
                                  <w:rFonts w:hint="default" w:ascii="Cambria Math" w:hAnsi="Cambria Math" w:cstheme="minorBidi"/>
                                  <w:color w:val="auto"/>
                                  <w:kern w:val="2"/>
                                  <w:sz w:val="32"/>
                                  <w:szCs w:val="32"/>
                                  <w:lang w:val="en-US" w:eastAsia="zh-CN" w:bidi="ar-SA"/>
                                </w:rPr>
                                <m:t>X</m:t>
                              </m:r>
                              <m:ctrlPr>
                                <w:rPr>
                                  <w:rFonts w:ascii="Cambria Math" w:hAnsi="Cambria Math" w:cstheme="minorBidi"/>
                                  <w:i/>
                                  <w:iCs/>
                                  <w:color w:val="auto"/>
                                  <w:kern w:val="2"/>
                                  <w:sz w:val="32"/>
                                  <w:szCs w:val="32"/>
                                  <w:lang w:val="en-US" w:bidi="ar-SA"/>
                                </w:rPr>
                              </m:ctrlPr>
                            </m:e>
                            <m:sub>
                              <m:r>
                                <m:rPr/>
                                <w:rPr>
                                  <w:rFonts w:hint="default" w:ascii="Cambria Math" w:hAnsi="Cambria Math" w:cstheme="minorBidi"/>
                                  <w:color w:val="auto"/>
                                  <w:kern w:val="2"/>
                                  <w:sz w:val="32"/>
                                  <w:szCs w:val="32"/>
                                  <w:lang w:val="en-US" w:eastAsia="zh-CN" w:bidi="ar-SA"/>
                                </w:rPr>
                                <m:t>i</m:t>
                              </m:r>
                              <m:ctrlPr>
                                <w:rPr>
                                  <w:rFonts w:ascii="Cambria Math" w:hAnsi="Cambria Math" w:cstheme="minorBidi"/>
                                  <w:i/>
                                  <w:iCs/>
                                  <w:color w:val="auto"/>
                                  <w:kern w:val="2"/>
                                  <w:sz w:val="32"/>
                                  <w:szCs w:val="32"/>
                                  <w:lang w:val="en-US" w:bidi="ar-SA"/>
                                </w:rPr>
                              </m:ctrlPr>
                            </m:sub>
                          </m:sSub>
                          <m:ctrlPr>
                            <w:rPr>
                              <w:rFonts w:hint="default" w:ascii="Cambria Math" w:hAnsi="Cambria Math" w:eastAsia="仿宋" w:cstheme="minorBidi"/>
                              <w:i/>
                              <w:iCs/>
                              <w:color w:val="auto"/>
                              <w:kern w:val="2"/>
                              <w:sz w:val="32"/>
                              <w:szCs w:val="32"/>
                              <w:lang w:val="en-US" w:eastAsia="zh-CN" w:bidi="ar-SA"/>
                            </w:rPr>
                          </m:ctrlPr>
                        </m:e>
                      </m:d>
                      <m:ctrlPr>
                        <w:rPr>
                          <w:rFonts w:hint="default" w:ascii="Cambria Math" w:hAnsi="Cambria Math" w:eastAsia="仿宋" w:cstheme="minorBidi"/>
                          <w:i/>
                          <w:iCs/>
                          <w:color w:val="auto"/>
                          <w:kern w:val="2"/>
                          <w:sz w:val="32"/>
                          <w:szCs w:val="32"/>
                          <w:lang w:val="en-US" w:eastAsia="zh-CN" w:bidi="ar-SA"/>
                        </w:rPr>
                      </m:ctrlPr>
                    </m:e>
                  </m:nary>
                  <m:ctrlPr>
                    <w:rPr>
                      <w:rFonts w:hint="default" w:ascii="Cambria Math" w:hAnsi="Cambria Math" w:eastAsia="仿宋" w:cstheme="minorBidi"/>
                      <w:i/>
                      <w:iCs/>
                      <w:color w:val="auto"/>
                      <w:kern w:val="2"/>
                      <w:sz w:val="32"/>
                      <w:szCs w:val="32"/>
                      <w:lang w:val="en-US" w:eastAsia="zh-CN" w:bidi="ar-SA"/>
                    </w:rPr>
                  </m:ctrlPr>
                </m:num>
                <m:den>
                  <m:nary>
                    <m:naryPr>
                      <m:chr m:val="∑"/>
                      <m:limLoc m:val="undOvr"/>
                      <m:subHide m:val="1"/>
                      <m:supHide m:val="1"/>
                      <m:ctrlPr>
                        <w:rPr>
                          <w:rFonts w:hint="default" w:ascii="Cambria Math" w:hAnsi="Cambria Math" w:eastAsia="仿宋" w:cstheme="minorBidi"/>
                          <w:i/>
                          <w:iCs/>
                          <w:color w:val="auto"/>
                          <w:kern w:val="2"/>
                          <w:sz w:val="32"/>
                          <w:szCs w:val="32"/>
                          <w:lang w:val="en-US" w:eastAsia="zh-CN" w:bidi="ar-SA"/>
                        </w:rPr>
                      </m:ctrlPr>
                    </m:naryPr>
                    <m:sub>
                      <m:ctrlPr>
                        <w:rPr>
                          <w:rFonts w:hint="default" w:ascii="Cambria Math" w:hAnsi="Cambria Math" w:eastAsia="仿宋" w:cstheme="minorBidi"/>
                          <w:i/>
                          <w:iCs/>
                          <w:color w:val="auto"/>
                          <w:kern w:val="2"/>
                          <w:sz w:val="32"/>
                          <w:szCs w:val="32"/>
                          <w:lang w:val="en-US" w:eastAsia="zh-CN" w:bidi="ar-SA"/>
                        </w:rPr>
                      </m:ctrlPr>
                    </m:sub>
                    <m:sup>
                      <m:ctrlPr>
                        <w:rPr>
                          <w:rFonts w:hint="default" w:ascii="Cambria Math" w:hAnsi="Cambria Math" w:eastAsia="仿宋" w:cstheme="minorBidi"/>
                          <w:i/>
                          <w:iCs/>
                          <w:color w:val="auto"/>
                          <w:kern w:val="2"/>
                          <w:sz w:val="32"/>
                          <w:szCs w:val="32"/>
                          <w:lang w:val="en-US" w:eastAsia="zh-CN" w:bidi="ar-SA"/>
                        </w:rPr>
                      </m:ctrlPr>
                    </m:sup>
                    <m:e>
                      <m:sSub>
                        <m:sSubPr>
                          <m:ctrlPr>
                            <w:rPr>
                              <w:rFonts w:hint="default" w:ascii="Cambria Math" w:hAnsi="Cambria Math" w:eastAsia="仿宋" w:cstheme="minorBidi"/>
                              <w:i/>
                              <w:iCs/>
                              <w:color w:val="auto"/>
                              <w:kern w:val="2"/>
                              <w:sz w:val="32"/>
                              <w:szCs w:val="32"/>
                              <w:lang w:val="en-US" w:eastAsia="zh-CN" w:bidi="ar-SA"/>
                            </w:rPr>
                          </m:ctrlPr>
                        </m:sSubPr>
                        <m:e>
                          <m:r>
                            <m:rPr/>
                            <w:rPr>
                              <w:rFonts w:hint="default" w:ascii="Cambria Math" w:hAnsi="Cambria Math" w:eastAsia="仿宋" w:cstheme="minorBidi"/>
                              <w:color w:val="auto"/>
                              <w:kern w:val="2"/>
                              <w:sz w:val="32"/>
                              <w:szCs w:val="32"/>
                              <w:lang w:val="en-US" w:eastAsia="zh-CN" w:bidi="ar-SA"/>
                            </w:rPr>
                            <m:t>I</m:t>
                          </m:r>
                          <m:ctrlPr>
                            <w:rPr>
                              <w:rFonts w:hint="default" w:ascii="Cambria Math" w:hAnsi="Cambria Math" w:eastAsia="仿宋" w:cstheme="minorBidi"/>
                              <w:i/>
                              <w:iCs/>
                              <w:color w:val="auto"/>
                              <w:kern w:val="2"/>
                              <w:sz w:val="32"/>
                              <w:szCs w:val="32"/>
                              <w:lang w:val="en-US" w:eastAsia="zh-CN" w:bidi="ar-SA"/>
                            </w:rPr>
                          </m:ctrlPr>
                        </m:e>
                        <m:sub>
                          <m:r>
                            <m:rPr/>
                            <w:rPr>
                              <w:rFonts w:hint="default" w:ascii="Cambria Math" w:hAnsi="Cambria Math" w:eastAsia="仿宋" w:cstheme="minorBidi"/>
                              <w:color w:val="auto"/>
                              <w:kern w:val="2"/>
                              <w:sz w:val="32"/>
                              <w:szCs w:val="32"/>
                              <w:lang w:val="en-US" w:eastAsia="zh-CN" w:bidi="ar-SA"/>
                            </w:rPr>
                            <m:t>i</m:t>
                          </m:r>
                          <m:ctrlPr>
                            <w:rPr>
                              <w:rFonts w:hint="default" w:ascii="Cambria Math" w:hAnsi="Cambria Math" w:eastAsia="仿宋" w:cstheme="minorBidi"/>
                              <w:i/>
                              <w:iCs/>
                              <w:color w:val="auto"/>
                              <w:kern w:val="2"/>
                              <w:sz w:val="32"/>
                              <w:szCs w:val="32"/>
                              <w:lang w:val="en-US" w:eastAsia="zh-CN" w:bidi="ar-SA"/>
                            </w:rPr>
                          </m:ctrlPr>
                        </m:sub>
                      </m:sSub>
                      <m:ctrlPr>
                        <w:rPr>
                          <w:rFonts w:hint="default" w:ascii="Cambria Math" w:hAnsi="Cambria Math" w:eastAsia="仿宋" w:cstheme="minorBidi"/>
                          <w:i/>
                          <w:iCs/>
                          <w:color w:val="auto"/>
                          <w:kern w:val="2"/>
                          <w:sz w:val="32"/>
                          <w:szCs w:val="32"/>
                          <w:lang w:val="en-US" w:eastAsia="zh-CN" w:bidi="ar-SA"/>
                        </w:rPr>
                      </m:ctrlPr>
                    </m:e>
                  </m:nary>
                  <m:ctrlPr>
                    <w:rPr>
                      <w:rFonts w:hint="default" w:ascii="Cambria Math" w:hAnsi="Cambria Math" w:eastAsia="仿宋" w:cstheme="minorBidi"/>
                      <w:i/>
                      <w:iCs/>
                      <w:color w:val="auto"/>
                      <w:kern w:val="2"/>
                      <w:sz w:val="32"/>
                      <w:szCs w:val="32"/>
                      <w:lang w:val="en-US" w:eastAsia="zh-CN" w:bidi="ar-SA"/>
                    </w:rPr>
                  </m:ctrlPr>
                </m:den>
              </m:f>
              <m:r>
                <m:rPr/>
                <w:rPr>
                  <w:rFonts w:hint="default" w:ascii="Cambria Math" w:hAnsi="Cambria Math" w:eastAsia="仿宋" w:cs="Cambria Math"/>
                  <w:color w:val="auto"/>
                  <w:kern w:val="2"/>
                  <w:sz w:val="32"/>
                  <w:szCs w:val="32"/>
                  <w:lang w:val="en-US" w:eastAsia="zh-CN" w:bidi="ar-SA"/>
                </w:rPr>
                <m:t>+0.1</m:t>
              </m:r>
              <m:f>
                <m:fPr>
                  <m:type m:val="lin"/>
                  <m:ctrlPr>
                    <w:rPr>
                      <w:rFonts w:hint="default" w:ascii="Cambria Math" w:hAnsi="Cambria Math" w:eastAsia="仿宋" w:cs="Cambria Math"/>
                      <w:i/>
                      <w:iCs/>
                      <w:color w:val="auto"/>
                      <w:kern w:val="2"/>
                      <w:sz w:val="32"/>
                      <w:szCs w:val="32"/>
                      <w:lang w:val="en-US" w:eastAsia="zh-CN" w:bidi="ar-SA"/>
                    </w:rPr>
                  </m:ctrlPr>
                </m:fPr>
                <m:num>
                  <m:nary>
                    <m:naryPr>
                      <m:chr m:val="∑"/>
                      <m:limLoc m:val="undOvr"/>
                      <m:subHide m:val="1"/>
                      <m:supHide m:val="1"/>
                      <m:ctrlPr>
                        <w:rPr>
                          <w:rFonts w:hint="default" w:ascii="Cambria Math" w:hAnsi="Cambria Math" w:eastAsia="仿宋" w:cs="Cambria Math"/>
                          <w:i/>
                          <w:iCs/>
                          <w:color w:val="auto"/>
                          <w:kern w:val="2"/>
                          <w:sz w:val="32"/>
                          <w:szCs w:val="32"/>
                          <w:lang w:val="en-US" w:eastAsia="zh-CN" w:bidi="ar-SA"/>
                        </w:rPr>
                      </m:ctrlPr>
                    </m:naryPr>
                    <m:sub>
                      <m:ctrlPr>
                        <w:rPr>
                          <w:rFonts w:hint="default" w:ascii="Cambria Math" w:hAnsi="Cambria Math" w:eastAsia="仿宋" w:cs="Cambria Math"/>
                          <w:i/>
                          <w:iCs/>
                          <w:color w:val="auto"/>
                          <w:kern w:val="2"/>
                          <w:sz w:val="32"/>
                          <w:szCs w:val="32"/>
                          <w:lang w:val="en-US" w:eastAsia="zh-CN" w:bidi="ar-SA"/>
                        </w:rPr>
                      </m:ctrlPr>
                    </m:sub>
                    <m:sup>
                      <m:ctrlPr>
                        <w:rPr>
                          <w:rFonts w:hint="default" w:ascii="Cambria Math" w:hAnsi="Cambria Math" w:eastAsia="仿宋" w:cs="Cambria Math"/>
                          <w:i/>
                          <w:iCs/>
                          <w:color w:val="auto"/>
                          <w:kern w:val="2"/>
                          <w:sz w:val="32"/>
                          <w:szCs w:val="32"/>
                          <w:lang w:val="en-US" w:eastAsia="zh-CN" w:bidi="ar-SA"/>
                        </w:rPr>
                      </m:ctrlPr>
                    </m:sup>
                    <m:e>
                      <m:d>
                        <m:dPr>
                          <m:ctrlPr>
                            <w:rPr>
                              <w:rFonts w:hint="default" w:ascii="Cambria Math" w:hAnsi="Cambria Math" w:eastAsia="仿宋" w:cs="Cambria Math"/>
                              <w:i/>
                              <w:iCs/>
                              <w:color w:val="auto"/>
                              <w:kern w:val="2"/>
                              <w:sz w:val="32"/>
                              <w:szCs w:val="32"/>
                              <w:lang w:val="en-US" w:eastAsia="zh-CN" w:bidi="ar-SA"/>
                            </w:rPr>
                          </m:ctrlPr>
                        </m:dPr>
                        <m:e>
                          <m:sSub>
                            <m:sSubPr>
                              <m:ctrlPr>
                                <w:rPr>
                                  <w:rFonts w:hint="default" w:ascii="Cambria Math" w:hAnsi="Cambria Math" w:eastAsia="仿宋" w:cs="Cambria Math"/>
                                  <w:i/>
                                  <w:iCs/>
                                  <w:color w:val="auto"/>
                                  <w:kern w:val="2"/>
                                  <w:sz w:val="32"/>
                                  <w:szCs w:val="32"/>
                                  <w:lang w:val="en-US" w:eastAsia="zh-CN" w:bidi="ar-SA"/>
                                </w:rPr>
                              </m:ctrlPr>
                            </m:sSubPr>
                            <m:e>
                              <m:r>
                                <m:rPr/>
                                <w:rPr>
                                  <w:rFonts w:hint="default" w:ascii="Cambria Math" w:hAnsi="Cambria Math" w:eastAsia="仿宋" w:cs="Cambria Math"/>
                                  <w:color w:val="auto"/>
                                  <w:kern w:val="2"/>
                                  <w:sz w:val="32"/>
                                  <w:szCs w:val="32"/>
                                  <w:lang w:val="en-US" w:eastAsia="zh-CN" w:bidi="ar-SA"/>
                                </w:rPr>
                                <m:t>S</m:t>
                              </m:r>
                              <m:ctrlPr>
                                <w:rPr>
                                  <w:rFonts w:hint="default" w:ascii="Cambria Math" w:hAnsi="Cambria Math" w:eastAsia="仿宋" w:cs="Cambria Math"/>
                                  <w:i/>
                                  <w:iCs/>
                                  <w:color w:val="auto"/>
                                  <w:kern w:val="2"/>
                                  <w:sz w:val="32"/>
                                  <w:szCs w:val="32"/>
                                  <w:lang w:val="en-US" w:eastAsia="zh-CN" w:bidi="ar-SA"/>
                                </w:rPr>
                              </m:ctrlPr>
                            </m:e>
                            <m:sub>
                              <m:r>
                                <m:rPr/>
                                <w:rPr>
                                  <w:rFonts w:hint="default" w:ascii="Cambria Math" w:hAnsi="Cambria Math" w:eastAsia="仿宋" w:cs="Cambria Math"/>
                                  <w:color w:val="auto"/>
                                  <w:kern w:val="2"/>
                                  <w:sz w:val="32"/>
                                  <w:szCs w:val="32"/>
                                  <w:lang w:val="en-US" w:eastAsia="zh-CN" w:bidi="ar-SA"/>
                                </w:rPr>
                                <m:t>i</m:t>
                              </m:r>
                              <m:ctrlPr>
                                <w:rPr>
                                  <w:rFonts w:hint="default" w:ascii="Cambria Math" w:hAnsi="Cambria Math" w:eastAsia="仿宋" w:cs="Cambria Math"/>
                                  <w:i/>
                                  <w:iCs/>
                                  <w:color w:val="auto"/>
                                  <w:kern w:val="2"/>
                                  <w:sz w:val="32"/>
                                  <w:szCs w:val="32"/>
                                  <w:lang w:val="en-US" w:eastAsia="zh-CN" w:bidi="ar-SA"/>
                                </w:rPr>
                              </m:ctrlPr>
                            </m:sub>
                          </m:sSub>
                          <m:r>
                            <m:rPr/>
                            <w:rPr>
                              <w:rFonts w:ascii="Cambria Math" w:hAnsi="Cambria Math" w:cs="Cambria Math"/>
                              <w:color w:val="auto"/>
                              <w:kern w:val="2"/>
                              <w:sz w:val="32"/>
                              <w:szCs w:val="32"/>
                              <w:lang w:val="en-US" w:bidi="ar-SA"/>
                            </w:rPr>
                            <m:t>×</m:t>
                          </m:r>
                          <m:sSub>
                            <m:sSubPr>
                              <m:ctrlPr>
                                <w:rPr>
                                  <w:rFonts w:ascii="Cambria Math" w:hAnsi="Cambria Math" w:cs="Cambria Math"/>
                                  <w:i/>
                                  <w:iCs/>
                                  <w:color w:val="auto"/>
                                  <w:kern w:val="2"/>
                                  <w:sz w:val="32"/>
                                  <w:szCs w:val="32"/>
                                  <w:lang w:val="en-US" w:bidi="ar-SA"/>
                                </w:rPr>
                              </m:ctrlPr>
                            </m:sSubPr>
                            <m:e>
                              <m:r>
                                <m:rPr/>
                                <w:rPr>
                                  <w:rFonts w:hint="default" w:ascii="Cambria Math" w:hAnsi="Cambria Math" w:cs="Cambria Math"/>
                                  <w:color w:val="auto"/>
                                  <w:kern w:val="2"/>
                                  <w:sz w:val="32"/>
                                  <w:szCs w:val="32"/>
                                  <w:lang w:val="en-US" w:eastAsia="zh-CN" w:bidi="ar-SA"/>
                                </w:rPr>
                                <m:t>X</m:t>
                              </m:r>
                              <m:ctrlPr>
                                <w:rPr>
                                  <w:rFonts w:ascii="Cambria Math" w:hAnsi="Cambria Math" w:cs="Cambria Math"/>
                                  <w:i/>
                                  <w:iCs/>
                                  <w:color w:val="auto"/>
                                  <w:kern w:val="2"/>
                                  <w:sz w:val="32"/>
                                  <w:szCs w:val="32"/>
                                  <w:lang w:val="en-US" w:bidi="ar-SA"/>
                                </w:rPr>
                              </m:ctrlPr>
                            </m:e>
                            <m:sub>
                              <m:r>
                                <m:rPr/>
                                <w:rPr>
                                  <w:rFonts w:hint="default" w:ascii="Cambria Math" w:hAnsi="Cambria Math" w:cs="Cambria Math"/>
                                  <w:color w:val="auto"/>
                                  <w:kern w:val="2"/>
                                  <w:sz w:val="32"/>
                                  <w:szCs w:val="32"/>
                                  <w:lang w:val="en-US" w:eastAsia="zh-CN" w:bidi="ar-SA"/>
                                </w:rPr>
                                <m:t>s</m:t>
                              </m:r>
                              <m:ctrlPr>
                                <w:rPr>
                                  <w:rFonts w:ascii="Cambria Math" w:hAnsi="Cambria Math" w:cs="Cambria Math"/>
                                  <w:i/>
                                  <w:iCs/>
                                  <w:color w:val="auto"/>
                                  <w:kern w:val="2"/>
                                  <w:sz w:val="32"/>
                                  <w:szCs w:val="32"/>
                                  <w:lang w:val="en-US" w:bidi="ar-SA"/>
                                </w:rPr>
                              </m:ctrlPr>
                            </m:sub>
                          </m:sSub>
                          <m:ctrlPr>
                            <w:rPr>
                              <w:rFonts w:hint="default" w:ascii="Cambria Math" w:hAnsi="Cambria Math" w:eastAsia="仿宋" w:cs="Cambria Math"/>
                              <w:i/>
                              <w:iCs/>
                              <w:color w:val="auto"/>
                              <w:kern w:val="2"/>
                              <w:sz w:val="32"/>
                              <w:szCs w:val="32"/>
                              <w:lang w:val="en-US" w:eastAsia="zh-CN" w:bidi="ar-SA"/>
                            </w:rPr>
                          </m:ctrlPr>
                        </m:e>
                      </m:d>
                      <m:ctrlPr>
                        <w:rPr>
                          <w:rFonts w:hint="default" w:ascii="Cambria Math" w:hAnsi="Cambria Math" w:eastAsia="仿宋" w:cs="Cambria Math"/>
                          <w:i/>
                          <w:iCs/>
                          <w:color w:val="auto"/>
                          <w:kern w:val="2"/>
                          <w:sz w:val="32"/>
                          <w:szCs w:val="32"/>
                          <w:lang w:val="en-US" w:eastAsia="zh-CN" w:bidi="ar-SA"/>
                        </w:rPr>
                      </m:ctrlPr>
                    </m:e>
                  </m:nary>
                  <m:ctrlPr>
                    <w:rPr>
                      <w:rFonts w:hint="default" w:ascii="Cambria Math" w:hAnsi="Cambria Math" w:eastAsia="仿宋" w:cs="Cambria Math"/>
                      <w:i/>
                      <w:iCs/>
                      <w:color w:val="auto"/>
                      <w:kern w:val="2"/>
                      <w:sz w:val="32"/>
                      <w:szCs w:val="32"/>
                      <w:lang w:val="en-US" w:eastAsia="zh-CN" w:bidi="ar-SA"/>
                    </w:rPr>
                  </m:ctrlPr>
                </m:num>
                <m:den>
                  <m:nary>
                    <m:naryPr>
                      <m:chr m:val="∑"/>
                      <m:limLoc m:val="undOvr"/>
                      <m:subHide m:val="1"/>
                      <m:supHide m:val="1"/>
                      <m:ctrlPr>
                        <w:rPr>
                          <w:rFonts w:hint="default" w:ascii="Cambria Math" w:hAnsi="Cambria Math" w:eastAsia="仿宋" w:cs="Cambria Math"/>
                          <w:i/>
                          <w:iCs/>
                          <w:color w:val="auto"/>
                          <w:kern w:val="2"/>
                          <w:sz w:val="32"/>
                          <w:szCs w:val="32"/>
                          <w:lang w:val="en-US" w:eastAsia="zh-CN" w:bidi="ar-SA"/>
                        </w:rPr>
                      </m:ctrlPr>
                    </m:naryPr>
                    <m:sub>
                      <m:ctrlPr>
                        <w:rPr>
                          <w:rFonts w:hint="default" w:ascii="Cambria Math" w:hAnsi="Cambria Math" w:eastAsia="仿宋" w:cs="Cambria Math"/>
                          <w:i/>
                          <w:iCs/>
                          <w:color w:val="auto"/>
                          <w:kern w:val="2"/>
                          <w:sz w:val="32"/>
                          <w:szCs w:val="32"/>
                          <w:lang w:val="en-US" w:eastAsia="zh-CN" w:bidi="ar-SA"/>
                        </w:rPr>
                      </m:ctrlPr>
                    </m:sub>
                    <m:sup>
                      <m:ctrlPr>
                        <w:rPr>
                          <w:rFonts w:hint="default" w:ascii="Cambria Math" w:hAnsi="Cambria Math" w:eastAsia="仿宋" w:cs="Cambria Math"/>
                          <w:i/>
                          <w:iCs/>
                          <w:color w:val="auto"/>
                          <w:kern w:val="2"/>
                          <w:sz w:val="32"/>
                          <w:szCs w:val="32"/>
                          <w:lang w:val="en-US" w:eastAsia="zh-CN" w:bidi="ar-SA"/>
                        </w:rPr>
                      </m:ctrlPr>
                    </m:sup>
                    <m:e>
                      <m:sSub>
                        <m:sSubPr>
                          <m:ctrlPr>
                            <w:rPr>
                              <w:rFonts w:hint="default" w:ascii="Cambria Math" w:hAnsi="Cambria Math" w:eastAsia="仿宋" w:cs="Cambria Math"/>
                              <w:i/>
                              <w:iCs/>
                              <w:color w:val="auto"/>
                              <w:kern w:val="2"/>
                              <w:sz w:val="32"/>
                              <w:szCs w:val="32"/>
                              <w:lang w:val="en-US" w:eastAsia="zh-CN" w:bidi="ar-SA"/>
                            </w:rPr>
                          </m:ctrlPr>
                        </m:sSubPr>
                        <m:e>
                          <m:r>
                            <m:rPr/>
                            <w:rPr>
                              <w:rFonts w:hint="default" w:ascii="Cambria Math" w:hAnsi="Cambria Math" w:eastAsia="仿宋" w:cs="Cambria Math"/>
                              <w:color w:val="auto"/>
                              <w:kern w:val="2"/>
                              <w:sz w:val="32"/>
                              <w:szCs w:val="32"/>
                              <w:lang w:val="en-US" w:eastAsia="zh-CN" w:bidi="ar-SA"/>
                            </w:rPr>
                            <m:t>S</m:t>
                          </m:r>
                          <m:ctrlPr>
                            <w:rPr>
                              <w:rFonts w:hint="default" w:ascii="Cambria Math" w:hAnsi="Cambria Math" w:eastAsia="仿宋" w:cs="Cambria Math"/>
                              <w:i/>
                              <w:iCs/>
                              <w:color w:val="auto"/>
                              <w:kern w:val="2"/>
                              <w:sz w:val="32"/>
                              <w:szCs w:val="32"/>
                              <w:lang w:val="en-US" w:eastAsia="zh-CN" w:bidi="ar-SA"/>
                            </w:rPr>
                          </m:ctrlPr>
                        </m:e>
                        <m:sub>
                          <m:r>
                            <m:rPr/>
                            <w:rPr>
                              <w:rFonts w:hint="default" w:ascii="Cambria Math" w:hAnsi="Cambria Math" w:eastAsia="仿宋" w:cs="Cambria Math"/>
                              <w:color w:val="auto"/>
                              <w:kern w:val="2"/>
                              <w:sz w:val="32"/>
                              <w:szCs w:val="32"/>
                              <w:lang w:val="en-US" w:eastAsia="zh-CN" w:bidi="ar-SA"/>
                            </w:rPr>
                            <m:t>i</m:t>
                          </m:r>
                          <m:ctrlPr>
                            <w:rPr>
                              <w:rFonts w:hint="default" w:ascii="Cambria Math" w:hAnsi="Cambria Math" w:eastAsia="仿宋" w:cs="Cambria Math"/>
                              <w:i/>
                              <w:iCs/>
                              <w:color w:val="auto"/>
                              <w:kern w:val="2"/>
                              <w:sz w:val="32"/>
                              <w:szCs w:val="32"/>
                              <w:lang w:val="en-US" w:eastAsia="zh-CN" w:bidi="ar-SA"/>
                            </w:rPr>
                          </m:ctrlPr>
                        </m:sub>
                      </m:sSub>
                      <m:ctrlPr>
                        <w:rPr>
                          <w:rFonts w:hint="default" w:ascii="Cambria Math" w:hAnsi="Cambria Math" w:eastAsia="仿宋" w:cs="Cambria Math"/>
                          <w:i/>
                          <w:iCs/>
                          <w:color w:val="auto"/>
                          <w:kern w:val="2"/>
                          <w:sz w:val="32"/>
                          <w:szCs w:val="32"/>
                          <w:lang w:val="en-US" w:eastAsia="zh-CN" w:bidi="ar-SA"/>
                        </w:rPr>
                      </m:ctrlPr>
                    </m:e>
                  </m:nary>
                  <m:ctrlPr>
                    <w:rPr>
                      <w:rFonts w:hint="default" w:ascii="Cambria Math" w:hAnsi="Cambria Math" w:eastAsia="仿宋" w:cs="Cambria Math"/>
                      <w:i/>
                      <w:iCs/>
                      <w:color w:val="auto"/>
                      <w:kern w:val="2"/>
                      <w:sz w:val="32"/>
                      <w:szCs w:val="32"/>
                      <w:lang w:val="en-US" w:eastAsia="zh-CN" w:bidi="ar-SA"/>
                    </w:rPr>
                  </m:ctrlPr>
                </m:den>
              </m:f>
              <m:ctrlPr>
                <w:rPr>
                  <w:rFonts w:hint="default" w:ascii="Cambria Math" w:hAnsi="Cambria Math" w:eastAsia="仿宋" w:cstheme="minorBidi"/>
                  <w:i w:val="0"/>
                  <w:color w:val="auto"/>
                  <w:kern w:val="2"/>
                  <w:sz w:val="32"/>
                  <w:szCs w:val="32"/>
                  <w:lang w:val="en-US" w:eastAsia="zh-CN" w:bidi="ar-SA"/>
                </w:rPr>
              </m:ctrlPr>
            </m:e>
          </m:d>
          <m:r>
            <m:rPr>
              <m:sty m:val="p"/>
            </m:rPr>
            <w:rPr>
              <w:rFonts w:hint="default" w:ascii="Cambria Math" w:hAnsi="Cambria Math" w:eastAsia="仿宋" w:cs="Cambria Math"/>
              <w:color w:val="auto"/>
              <w:kern w:val="2"/>
              <w:sz w:val="32"/>
              <w:szCs w:val="32"/>
              <w:lang w:val="en-US" w:eastAsia="zh-CN" w:bidi="ar-SA"/>
            </w:rPr>
            <m:t>×</m:t>
          </m:r>
          <m:r>
            <m:rPr>
              <m:sty m:val="p"/>
            </m:rPr>
            <w:rPr>
              <w:rFonts w:hint="default" w:ascii="Cambria Math" w:hAnsi="Cambria Math" w:eastAsia="仿宋" w:cs="Times New Roman"/>
              <w:color w:val="auto"/>
              <w:kern w:val="2"/>
              <w:sz w:val="32"/>
              <w:szCs w:val="32"/>
              <w:lang w:val="en-US" w:eastAsia="zh-CN" w:bidi="ar-SA"/>
            </w:rPr>
            <m:t>85%</m:t>
          </m:r>
        </m:oMath>
      </m:oMathPara>
    </w:p>
    <w:p w14:paraId="23933C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其中：</w:t>
      </w:r>
      <w:r>
        <w:rPr>
          <w:rFonts w:hint="eastAsia" w:ascii="Times New Roman" w:hAnsi="Times New Roman" w:eastAsia="仿宋_GB2312"/>
          <w:color w:val="auto"/>
          <w:sz w:val="32"/>
          <w:szCs w:val="32"/>
          <w:lang w:val="en-US" w:eastAsia="zh-CN"/>
        </w:rPr>
        <w:t>I</w:t>
      </w:r>
      <w:r>
        <w:rPr>
          <w:rFonts w:hint="eastAsia" w:ascii="Times New Roman" w:hAnsi="Times New Roman" w:eastAsia="仿宋_GB2312"/>
          <w:color w:val="auto"/>
          <w:sz w:val="32"/>
          <w:szCs w:val="32"/>
          <w:vertAlign w:val="subscript"/>
          <w:lang w:val="en-US" w:eastAsia="zh-CN"/>
        </w:rPr>
        <w:t>i</w:t>
      </w:r>
      <w:r>
        <w:rPr>
          <w:rFonts w:ascii="Times New Roman" w:hAnsi="Times New Roman" w:eastAsia="仿宋_GB2312"/>
          <w:color w:val="auto"/>
          <w:sz w:val="32"/>
          <w:szCs w:val="32"/>
        </w:rPr>
        <w:t>＝各必修课、专业限选课学分数、</w:t>
      </w:r>
      <w:r>
        <w:rPr>
          <w:rFonts w:hint="eastAsia" w:ascii="Times New Roman" w:hAnsi="Times New Roman" w:eastAsia="仿宋_GB2312"/>
          <w:color w:val="auto"/>
          <w:sz w:val="32"/>
          <w:szCs w:val="32"/>
          <w:lang w:val="en-US" w:eastAsia="zh-CN"/>
        </w:rPr>
        <w:t>S</w:t>
      </w:r>
      <w:r>
        <w:rPr>
          <w:rFonts w:hint="eastAsia" w:ascii="Times New Roman" w:hAnsi="Times New Roman" w:eastAsia="仿宋_GB2312"/>
          <w:color w:val="auto"/>
          <w:sz w:val="32"/>
          <w:szCs w:val="32"/>
          <w:vertAlign w:val="subscript"/>
          <w:lang w:val="en-US" w:eastAsia="zh-CN"/>
        </w:rPr>
        <w:t>i</w:t>
      </w:r>
      <w:r>
        <w:rPr>
          <w:rFonts w:ascii="Times New Roman" w:hAnsi="Times New Roman" w:eastAsia="仿宋_GB2312"/>
          <w:color w:val="auto"/>
          <w:sz w:val="32"/>
          <w:szCs w:val="32"/>
        </w:rPr>
        <w:t>＝各选修课学分数（不含专业限选</w:t>
      </w:r>
      <w:r>
        <w:rPr>
          <w:rFonts w:hint="eastAsia" w:ascii="Times New Roman" w:hAnsi="Times New Roman" w:eastAsia="仿宋_GB2312"/>
          <w:color w:val="auto"/>
          <w:sz w:val="32"/>
          <w:szCs w:val="32"/>
        </w:rPr>
        <w:t>课），</w:t>
      </w:r>
      <w:r>
        <w:rPr>
          <w:rFonts w:hint="eastAsia" w:ascii="Times New Roman" w:hAnsi="Times New Roman" w:eastAsia="仿宋_GB2312"/>
          <w:color w:val="auto"/>
          <w:sz w:val="32"/>
          <w:szCs w:val="32"/>
          <w:lang w:val="en-US" w:eastAsia="zh-CN"/>
        </w:rPr>
        <w:t>X</w:t>
      </w:r>
      <w:r>
        <w:rPr>
          <w:rFonts w:hint="eastAsia" w:ascii="Times New Roman" w:hAnsi="Times New Roman" w:eastAsia="仿宋_GB2312"/>
          <w:color w:val="auto"/>
          <w:sz w:val="32"/>
          <w:szCs w:val="32"/>
          <w:vertAlign w:val="subscript"/>
          <w:lang w:val="en-US" w:eastAsia="zh-CN"/>
        </w:rPr>
        <w:t>i</w:t>
      </w:r>
      <w:r>
        <w:rPr>
          <w:rFonts w:ascii="Times New Roman" w:hAnsi="Times New Roman" w:eastAsia="仿宋_GB2312"/>
          <w:color w:val="auto"/>
          <w:sz w:val="32"/>
          <w:szCs w:val="32"/>
        </w:rPr>
        <w:t>＝必修课、专业限选课所得成绩、X</w:t>
      </w:r>
      <w:r>
        <w:rPr>
          <w:rFonts w:ascii="Times New Roman" w:hAnsi="Times New Roman" w:eastAsia="仿宋_GB2312"/>
          <w:color w:val="auto"/>
          <w:sz w:val="32"/>
          <w:szCs w:val="32"/>
          <w:vertAlign w:val="subscript"/>
        </w:rPr>
        <w:t>s</w:t>
      </w:r>
      <w:r>
        <w:rPr>
          <w:rFonts w:ascii="Times New Roman" w:hAnsi="Times New Roman" w:eastAsia="仿宋_GB2312"/>
          <w:color w:val="auto"/>
          <w:sz w:val="32"/>
          <w:szCs w:val="32"/>
        </w:rPr>
        <w:t>=选修课（不含专业限选课）所得成绩，</w:t>
      </w:r>
      <w:r>
        <w:rPr>
          <w:rFonts w:hint="eastAsia" w:ascii="Times New Roman" w:hAnsi="Times New Roman" w:eastAsia="仿宋_GB2312"/>
          <w:color w:val="auto"/>
          <w:sz w:val="32"/>
          <w:szCs w:val="32"/>
        </w:rPr>
        <w:t>（均按百分制计算，必修课包含</w:t>
      </w:r>
      <w:bookmarkStart w:id="2" w:name="OLE_LINK1"/>
      <w:r>
        <w:rPr>
          <w:rFonts w:hint="eastAsia" w:ascii="Times New Roman" w:hAnsi="Times New Roman" w:eastAsia="仿宋_GB2312"/>
          <w:color w:val="auto"/>
          <w:sz w:val="32"/>
          <w:szCs w:val="32"/>
        </w:rPr>
        <w:t>《大学体育Ⅰ》</w:t>
      </w:r>
      <w:bookmarkEnd w:id="2"/>
      <w:r>
        <w:rPr>
          <w:rFonts w:hint="eastAsia" w:ascii="Times New Roman" w:hAnsi="Times New Roman" w:eastAsia="仿宋_GB2312"/>
          <w:color w:val="auto"/>
          <w:sz w:val="32"/>
          <w:szCs w:val="32"/>
        </w:rPr>
        <w:t>、</w:t>
      </w:r>
      <w:r>
        <w:rPr>
          <w:rFonts w:hint="eastAsia" w:ascii="Times New Roman" w:hAnsi="Times New Roman" w:eastAsia="仿宋_GB2312"/>
          <w:color w:val="auto"/>
          <w:kern w:val="0"/>
          <w:sz w:val="32"/>
          <w:szCs w:val="32"/>
        </w:rPr>
        <w:t>《大学体育Ⅱ》、《大学体育Ⅲ》、《大学体育Ⅳ》</w:t>
      </w:r>
      <w:r>
        <w:rPr>
          <w:rFonts w:hint="eastAsia" w:ascii="Times New Roman" w:hAnsi="Times New Roman" w:eastAsia="仿宋_GB2312"/>
          <w:color w:val="auto"/>
          <w:sz w:val="32"/>
          <w:szCs w:val="32"/>
        </w:rPr>
        <w:t>；按五级制计算时：优</w:t>
      </w:r>
      <w:r>
        <w:rPr>
          <w:rFonts w:ascii="Times New Roman" w:hAnsi="Times New Roman" w:eastAsia="仿宋_GB2312"/>
          <w:color w:val="auto"/>
          <w:sz w:val="32"/>
          <w:szCs w:val="32"/>
        </w:rPr>
        <w:t>=95分；良=85分；中=75分；及格=65分；</w:t>
      </w:r>
      <w:r>
        <w:rPr>
          <w:rFonts w:hint="eastAsia" w:ascii="Times New Roman" w:hAnsi="Times New Roman" w:eastAsia="仿宋_GB2312"/>
          <w:color w:val="auto"/>
          <w:sz w:val="32"/>
          <w:szCs w:val="32"/>
        </w:rPr>
        <w:t>不及格</w:t>
      </w:r>
      <w:r>
        <w:rPr>
          <w:rFonts w:ascii="Times New Roman" w:hAnsi="Times New Roman" w:eastAsia="仿宋_GB2312"/>
          <w:color w:val="auto"/>
          <w:sz w:val="32"/>
          <w:szCs w:val="32"/>
        </w:rPr>
        <w:t>=40分；成绩记载为两级制时，不计入课程学习成绩）</w:t>
      </w:r>
      <w:r>
        <w:rPr>
          <w:rFonts w:hint="eastAsia" w:ascii="Times New Roman" w:hAnsi="Times New Roman" w:eastAsia="仿宋_GB2312"/>
          <w:color w:val="auto"/>
          <w:sz w:val="32"/>
          <w:szCs w:val="32"/>
        </w:rPr>
        <w:t>。</w:t>
      </w:r>
    </w:p>
    <w:p w14:paraId="6EFD8F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如上一学年无选修课，</w:t>
      </w:r>
      <w:r>
        <w:rPr>
          <w:rFonts w:hint="eastAsia" w:ascii="Times New Roman" w:hAnsi="Times New Roman" w:eastAsia="仿宋_GB2312"/>
          <w:color w:val="auto"/>
          <w:sz w:val="32"/>
          <w:szCs w:val="32"/>
        </w:rPr>
        <w:t>课程学习成绩</w:t>
      </w:r>
      <w:r>
        <w:rPr>
          <w:rFonts w:hint="eastAsia" w:ascii="Times New Roman" w:hAnsi="Times New Roman" w:eastAsia="仿宋_GB2312"/>
          <w:color w:val="auto"/>
          <w:sz w:val="32"/>
          <w:szCs w:val="32"/>
          <w:lang w:val="en-US" w:eastAsia="zh-CN"/>
        </w:rPr>
        <w:t>按以下方式计算：</w:t>
      </w:r>
    </w:p>
    <w:p w14:paraId="62A7E403">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textAlignment w:val="auto"/>
        <w:rPr>
          <w:rFonts w:hint="default" w:ascii="Times New Roman" w:hAnsi="Times New Roman" w:eastAsiaTheme="minorEastAsia"/>
          <w:color w:val="auto"/>
          <w:sz w:val="32"/>
          <w:szCs w:val="32"/>
          <w:lang w:val="en-US" w:eastAsia="zh-CN"/>
        </w:rPr>
      </w:pPr>
      <m:oMathPara>
        <m:oMath>
          <m:d>
            <m:dPr>
              <m:begChr m:val="["/>
              <m:endChr m:val="]"/>
              <m:ctrlPr>
                <w:rPr>
                  <w:rFonts w:ascii="Cambria Math" w:hAnsi="Cambria Math"/>
                  <w:i/>
                  <w:color w:val="auto"/>
                  <w:sz w:val="32"/>
                  <w:szCs w:val="32"/>
                </w:rPr>
              </m:ctrlPr>
            </m:dPr>
            <m:e>
              <m:f>
                <m:fPr>
                  <m:type m:val="lin"/>
                  <m:ctrlPr>
                    <w:rPr>
                      <w:rFonts w:ascii="Cambria Math" w:hAnsi="Cambria Math"/>
                      <w:i/>
                      <w:color w:val="auto"/>
                      <w:sz w:val="32"/>
                      <w:szCs w:val="32"/>
                    </w:rPr>
                  </m:ctrlPr>
                </m:fPr>
                <m:num>
                  <m:nary>
                    <m:naryPr>
                      <m:chr m:val="∑"/>
                      <m:limLoc m:val="undOvr"/>
                      <m:subHide m:val="1"/>
                      <m:supHide m:val="1"/>
                      <m:ctrlPr>
                        <w:rPr>
                          <w:rFonts w:ascii="Cambria Math" w:hAnsi="Cambria Math"/>
                          <w:i/>
                          <w:color w:val="auto"/>
                          <w:sz w:val="32"/>
                          <w:szCs w:val="32"/>
                        </w:rPr>
                      </m:ctrlPr>
                    </m:naryPr>
                    <m:sub>
                      <m:ctrlPr>
                        <w:rPr>
                          <w:rFonts w:ascii="Cambria Math" w:hAnsi="Cambria Math"/>
                          <w:i/>
                          <w:color w:val="auto"/>
                          <w:sz w:val="32"/>
                          <w:szCs w:val="32"/>
                        </w:rPr>
                      </m:ctrlPr>
                    </m:sub>
                    <m:sup>
                      <m:ctrlPr>
                        <w:rPr>
                          <w:rFonts w:ascii="Cambria Math" w:hAnsi="Cambria Math"/>
                          <w:i/>
                          <w:color w:val="auto"/>
                          <w:sz w:val="32"/>
                          <w:szCs w:val="32"/>
                        </w:rPr>
                      </m:ctrlPr>
                    </m:sup>
                    <m:e>
                      <m:d>
                        <m:dPr>
                          <m:ctrlPr>
                            <w:rPr>
                              <w:rFonts w:ascii="Cambria Math" w:hAnsi="Cambria Math"/>
                              <w:i/>
                              <w:color w:val="auto"/>
                              <w:sz w:val="32"/>
                              <w:szCs w:val="32"/>
                            </w:rPr>
                          </m:ctrlPr>
                        </m:dPr>
                        <m:e>
                          <m:sSub>
                            <m:sSubPr>
                              <m:ctrlPr>
                                <w:rPr>
                                  <w:rFonts w:ascii="Cambria Math" w:hAnsi="Cambria Math"/>
                                  <w:i/>
                                  <w:color w:val="auto"/>
                                  <w:sz w:val="32"/>
                                  <w:szCs w:val="32"/>
                                </w:rPr>
                              </m:ctrlPr>
                            </m:sSubPr>
                            <m:e>
                              <m:r>
                                <m:rPr/>
                                <w:rPr>
                                  <w:rFonts w:hint="default" w:ascii="Cambria Math" w:hAnsi="Cambria Math"/>
                                  <w:color w:val="auto"/>
                                  <w:sz w:val="32"/>
                                  <w:szCs w:val="32"/>
                                  <w:lang w:val="en-US" w:eastAsia="zh-CN"/>
                                </w:rPr>
                                <m:t>I</m:t>
                              </m:r>
                              <m:ctrlPr>
                                <w:rPr>
                                  <w:rFonts w:ascii="Cambria Math" w:hAnsi="Cambria Math"/>
                                  <w:i/>
                                  <w:color w:val="auto"/>
                                  <w:sz w:val="32"/>
                                  <w:szCs w:val="32"/>
                                </w:rPr>
                              </m:ctrlPr>
                            </m:e>
                            <m:sub>
                              <m:r>
                                <m:rPr/>
                                <w:rPr>
                                  <w:rFonts w:hint="default" w:ascii="Cambria Math" w:hAnsi="Cambria Math"/>
                                  <w:color w:val="auto"/>
                                  <w:sz w:val="32"/>
                                  <w:szCs w:val="32"/>
                                  <w:lang w:val="en-US" w:eastAsia="zh-CN"/>
                                </w:rPr>
                                <m:t>i</m:t>
                              </m:r>
                              <m:ctrlPr>
                                <w:rPr>
                                  <w:rFonts w:ascii="Cambria Math" w:hAnsi="Cambria Math"/>
                                  <w:i/>
                                  <w:color w:val="auto"/>
                                  <w:sz w:val="32"/>
                                  <w:szCs w:val="32"/>
                                </w:rPr>
                              </m:ctrlPr>
                            </m:sub>
                          </m:sSub>
                          <m:r>
                            <m:rPr/>
                            <w:rPr>
                              <w:rFonts w:ascii="Cambria Math" w:hAnsi="Cambria Math"/>
                              <w:color w:val="auto"/>
                              <w:sz w:val="32"/>
                              <w:szCs w:val="32"/>
                            </w:rPr>
                            <m:t>×</m:t>
                          </m:r>
                          <m:sSub>
                            <m:sSubPr>
                              <m:ctrlPr>
                                <w:rPr>
                                  <w:rFonts w:ascii="Cambria Math" w:hAnsi="Cambria Math"/>
                                  <w:i/>
                                  <w:color w:val="auto"/>
                                  <w:sz w:val="32"/>
                                  <w:szCs w:val="32"/>
                                </w:rPr>
                              </m:ctrlPr>
                            </m:sSubPr>
                            <m:e>
                              <m:r>
                                <m:rPr/>
                                <w:rPr>
                                  <w:rFonts w:hint="default" w:ascii="Cambria Math" w:hAnsi="Cambria Math"/>
                                  <w:color w:val="auto"/>
                                  <w:sz w:val="32"/>
                                  <w:szCs w:val="32"/>
                                  <w:lang w:val="en-US" w:eastAsia="zh-CN"/>
                                </w:rPr>
                                <m:t>X</m:t>
                              </m:r>
                              <m:ctrlPr>
                                <w:rPr>
                                  <w:rFonts w:ascii="Cambria Math" w:hAnsi="Cambria Math"/>
                                  <w:i/>
                                  <w:color w:val="auto"/>
                                  <w:sz w:val="32"/>
                                  <w:szCs w:val="32"/>
                                </w:rPr>
                              </m:ctrlPr>
                            </m:e>
                            <m:sub>
                              <m:r>
                                <m:rPr/>
                                <w:rPr>
                                  <w:rFonts w:hint="default" w:ascii="Cambria Math" w:hAnsi="Cambria Math"/>
                                  <w:color w:val="auto"/>
                                  <w:sz w:val="32"/>
                                  <w:szCs w:val="32"/>
                                  <w:lang w:val="en-US" w:eastAsia="zh-CN"/>
                                </w:rPr>
                                <m:t>i</m:t>
                              </m:r>
                              <m:ctrlPr>
                                <w:rPr>
                                  <w:rFonts w:ascii="Cambria Math" w:hAnsi="Cambria Math"/>
                                  <w:i/>
                                  <w:color w:val="auto"/>
                                  <w:sz w:val="32"/>
                                  <w:szCs w:val="32"/>
                                </w:rPr>
                              </m:ctrlPr>
                            </m:sub>
                          </m:sSub>
                          <m:ctrlPr>
                            <w:rPr>
                              <w:rFonts w:ascii="Cambria Math" w:hAnsi="Cambria Math"/>
                              <w:i/>
                              <w:color w:val="auto"/>
                              <w:sz w:val="32"/>
                              <w:szCs w:val="32"/>
                            </w:rPr>
                          </m:ctrlPr>
                        </m:e>
                      </m:d>
                      <m:ctrlPr>
                        <w:rPr>
                          <w:rFonts w:ascii="Cambria Math" w:hAnsi="Cambria Math"/>
                          <w:i/>
                          <w:color w:val="auto"/>
                          <w:sz w:val="32"/>
                          <w:szCs w:val="32"/>
                        </w:rPr>
                      </m:ctrlPr>
                    </m:e>
                  </m:nary>
                  <m:ctrlPr>
                    <w:rPr>
                      <w:rFonts w:ascii="Cambria Math" w:hAnsi="Cambria Math"/>
                      <w:i/>
                      <w:color w:val="auto"/>
                      <w:sz w:val="32"/>
                      <w:szCs w:val="32"/>
                    </w:rPr>
                  </m:ctrlPr>
                </m:num>
                <m:den>
                  <m:nary>
                    <m:naryPr>
                      <m:chr m:val="∑"/>
                      <m:limLoc m:val="undOvr"/>
                      <m:subHide m:val="1"/>
                      <m:supHide m:val="1"/>
                      <m:ctrlPr>
                        <w:rPr>
                          <w:rFonts w:ascii="Cambria Math" w:hAnsi="Cambria Math"/>
                          <w:i/>
                          <w:color w:val="auto"/>
                          <w:sz w:val="32"/>
                          <w:szCs w:val="32"/>
                        </w:rPr>
                      </m:ctrlPr>
                    </m:naryPr>
                    <m:sub>
                      <m:ctrlPr>
                        <w:rPr>
                          <w:rFonts w:ascii="Cambria Math" w:hAnsi="Cambria Math"/>
                          <w:i/>
                          <w:color w:val="auto"/>
                          <w:sz w:val="32"/>
                          <w:szCs w:val="32"/>
                        </w:rPr>
                      </m:ctrlPr>
                    </m:sub>
                    <m:sup>
                      <m:ctrlPr>
                        <w:rPr>
                          <w:rFonts w:ascii="Cambria Math" w:hAnsi="Cambria Math"/>
                          <w:i/>
                          <w:color w:val="auto"/>
                          <w:sz w:val="32"/>
                          <w:szCs w:val="32"/>
                        </w:rPr>
                      </m:ctrlPr>
                    </m:sup>
                    <m:e>
                      <m:sSub>
                        <m:sSubPr>
                          <m:ctrlPr>
                            <w:rPr>
                              <w:rFonts w:ascii="Cambria Math" w:hAnsi="Cambria Math"/>
                              <w:i/>
                              <w:color w:val="auto"/>
                              <w:sz w:val="32"/>
                              <w:szCs w:val="32"/>
                            </w:rPr>
                          </m:ctrlPr>
                        </m:sSubPr>
                        <m:e>
                          <m:r>
                            <m:rPr/>
                            <w:rPr>
                              <w:rFonts w:hint="default" w:ascii="Cambria Math" w:hAnsi="Cambria Math"/>
                              <w:color w:val="auto"/>
                              <w:sz w:val="32"/>
                              <w:szCs w:val="32"/>
                              <w:lang w:val="en-US" w:eastAsia="zh-CN"/>
                            </w:rPr>
                            <m:t>I</m:t>
                          </m:r>
                          <m:ctrlPr>
                            <w:rPr>
                              <w:rFonts w:ascii="Cambria Math" w:hAnsi="Cambria Math"/>
                              <w:i/>
                              <w:color w:val="auto"/>
                              <w:sz w:val="32"/>
                              <w:szCs w:val="32"/>
                            </w:rPr>
                          </m:ctrlPr>
                        </m:e>
                        <m:sub>
                          <m:r>
                            <m:rPr/>
                            <w:rPr>
                              <w:rFonts w:hint="default" w:ascii="Cambria Math" w:hAnsi="Cambria Math"/>
                              <w:color w:val="auto"/>
                              <w:sz w:val="32"/>
                              <w:szCs w:val="32"/>
                              <w:lang w:val="en-US" w:eastAsia="zh-CN"/>
                            </w:rPr>
                            <m:t>i</m:t>
                          </m:r>
                          <m:ctrlPr>
                            <w:rPr>
                              <w:rFonts w:ascii="Cambria Math" w:hAnsi="Cambria Math"/>
                              <w:i/>
                              <w:color w:val="auto"/>
                              <w:sz w:val="32"/>
                              <w:szCs w:val="32"/>
                            </w:rPr>
                          </m:ctrlPr>
                        </m:sub>
                      </m:sSub>
                      <m:ctrlPr>
                        <w:rPr>
                          <w:rFonts w:ascii="Cambria Math" w:hAnsi="Cambria Math"/>
                          <w:i/>
                          <w:color w:val="auto"/>
                          <w:sz w:val="32"/>
                          <w:szCs w:val="32"/>
                        </w:rPr>
                      </m:ctrlPr>
                    </m:e>
                  </m:nary>
                  <m:ctrlPr>
                    <w:rPr>
                      <w:rFonts w:ascii="Cambria Math" w:hAnsi="Cambria Math"/>
                      <w:i/>
                      <w:color w:val="auto"/>
                      <w:sz w:val="32"/>
                      <w:szCs w:val="32"/>
                    </w:rPr>
                  </m:ctrlPr>
                </m:den>
              </m:f>
              <m:ctrlPr>
                <w:rPr>
                  <w:rFonts w:ascii="Cambria Math" w:hAnsi="Cambria Math"/>
                  <w:i/>
                  <w:color w:val="auto"/>
                  <w:sz w:val="32"/>
                  <w:szCs w:val="32"/>
                </w:rPr>
              </m:ctrlPr>
            </m:e>
          </m:d>
          <m:r>
            <m:rPr/>
            <w:rPr>
              <w:rFonts w:hint="default" w:ascii="Cambria Math" w:hAnsi="Cambria Math" w:cs="Cambria Math"/>
              <w:color w:val="auto"/>
              <w:sz w:val="32"/>
              <w:szCs w:val="32"/>
            </w:rPr>
            <m:t>×</m:t>
          </m:r>
          <m:r>
            <m:rPr/>
            <w:rPr>
              <w:rFonts w:hint="default" w:ascii="Cambria Math" w:hAnsi="Cambria Math" w:cs="Cambria Math"/>
              <w:color w:val="auto"/>
              <w:sz w:val="32"/>
              <w:szCs w:val="32"/>
              <w:lang w:val="en-US" w:eastAsia="zh-CN"/>
            </w:rPr>
            <m:t>85%</m:t>
          </m:r>
        </m:oMath>
      </m:oMathPara>
    </w:p>
    <w:p w14:paraId="4DB0A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Times New Roman" w:hAnsi="Times New Roman" w:eastAsia="仿宋_GB2312"/>
          <w:color w:val="auto"/>
          <w:sz w:val="32"/>
          <w:szCs w:val="32"/>
        </w:rPr>
        <w:t>缓考课程如开学三周内不能提供成绩的，成绩纳入下学年考核。课程成绩计算时，补考、重修</w:t>
      </w:r>
      <w:r>
        <w:rPr>
          <w:rFonts w:hint="eastAsia" w:ascii="Times New Roman" w:hAnsi="Times New Roman" w:eastAsia="仿宋_GB2312"/>
          <w:color w:val="auto"/>
          <w:sz w:val="32"/>
          <w:szCs w:val="32"/>
          <w:lang w:val="en-US" w:eastAsia="zh-CN"/>
        </w:rPr>
        <w:t>的课程按首修成绩计入</w:t>
      </w:r>
      <w:r>
        <w:rPr>
          <w:rFonts w:ascii="Times New Roman" w:hAnsi="Times New Roman" w:eastAsia="仿宋_GB2312"/>
          <w:color w:val="auto"/>
          <w:sz w:val="32"/>
          <w:szCs w:val="32"/>
        </w:rPr>
        <w:t>，复修成绩不参与计算。</w:t>
      </w:r>
    </w:p>
    <w:p w14:paraId="111E9F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（二）智育加分（15分）</w:t>
      </w:r>
    </w:p>
    <w:p w14:paraId="4E3293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智育加分累加上限1</w:t>
      </w: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分。</w:t>
      </w:r>
    </w:p>
    <w:p w14:paraId="6C9E38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1.凡参加学科竞赛取得各级奖励者按下表加分：</w:t>
      </w:r>
    </w:p>
    <w:tbl>
      <w:tblPr>
        <w:tblStyle w:val="4"/>
        <w:tblW w:w="8191" w:type="dxa"/>
        <w:jc w:val="center"/>
        <w:tblLayout w:type="autofit"/>
        <w:tblCellMar>
          <w:top w:w="0" w:type="dxa"/>
          <w:left w:w="108" w:type="dxa"/>
          <w:bottom w:w="0" w:type="dxa"/>
          <w:right w:w="108" w:type="dxa"/>
        </w:tblCellMar>
      </w:tblPr>
      <w:tblGrid>
        <w:gridCol w:w="1110"/>
        <w:gridCol w:w="1650"/>
        <w:gridCol w:w="1650"/>
        <w:gridCol w:w="1606"/>
        <w:gridCol w:w="2175"/>
      </w:tblGrid>
      <w:tr w14:paraId="53FC8C9F">
        <w:tblPrEx>
          <w:tblCellMar>
            <w:top w:w="0" w:type="dxa"/>
            <w:left w:w="108" w:type="dxa"/>
            <w:bottom w:w="0" w:type="dxa"/>
            <w:right w:w="108" w:type="dxa"/>
          </w:tblCellMar>
        </w:tblPrEx>
        <w:trPr>
          <w:trHeight w:val="410" w:hRule="atLeast"/>
          <w:jc w:val="center"/>
        </w:trPr>
        <w:tc>
          <w:tcPr>
            <w:tcW w:w="1110"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175601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 xml:space="preserve">  </w:t>
            </w:r>
            <w:r>
              <w:rPr>
                <w:rFonts w:hint="eastAsia" w:ascii="Times New Roman" w:hAnsi="Times New Roman" w:eastAsia="仿宋_GB2312" w:cs="Times New Roman"/>
                <w:b/>
                <w:bCs/>
                <w:color w:val="auto"/>
                <w:kern w:val="0"/>
                <w:sz w:val="24"/>
                <w:szCs w:val="24"/>
                <w:lang w:val="en-US" w:eastAsia="zh-CN"/>
              </w:rPr>
              <w:t xml:space="preserve"> </w:t>
            </w:r>
            <w:r>
              <w:rPr>
                <w:rFonts w:hint="eastAsia" w:ascii="Times New Roman" w:hAnsi="Times New Roman" w:eastAsia="仿宋_GB2312" w:cs="Times New Roman"/>
                <w:b/>
                <w:bCs/>
                <w:color w:val="auto"/>
                <w:kern w:val="0"/>
                <w:sz w:val="24"/>
                <w:szCs w:val="24"/>
              </w:rPr>
              <w:t>级别分值</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960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一等奖</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3F0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二等奖</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DDE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三等奖</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EED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鼓励奖/优秀奖</w:t>
            </w:r>
          </w:p>
        </w:tc>
      </w:tr>
      <w:tr w14:paraId="55F82ECD">
        <w:tblPrEx>
          <w:tblCellMar>
            <w:top w:w="0" w:type="dxa"/>
            <w:left w:w="108" w:type="dxa"/>
            <w:bottom w:w="0" w:type="dxa"/>
            <w:right w:w="108" w:type="dxa"/>
          </w:tblCellMar>
        </w:tblPrEx>
        <w:trPr>
          <w:trHeight w:val="204" w:hRule="atLeast"/>
          <w:jc w:val="center"/>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BA4BB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国家级</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6EC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12</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AB4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10</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E61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8</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5EA75F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5</w:t>
            </w:r>
          </w:p>
        </w:tc>
      </w:tr>
      <w:tr w14:paraId="05A07C54">
        <w:tblPrEx>
          <w:tblCellMar>
            <w:top w:w="0" w:type="dxa"/>
            <w:left w:w="108" w:type="dxa"/>
            <w:bottom w:w="0" w:type="dxa"/>
            <w:right w:w="108" w:type="dxa"/>
          </w:tblCellMar>
        </w:tblPrEx>
        <w:trPr>
          <w:trHeight w:val="204" w:hRule="atLeast"/>
          <w:jc w:val="center"/>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1671CC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省部级</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0D6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8</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140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E0E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42D52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p>
        </w:tc>
      </w:tr>
      <w:tr w14:paraId="344E06DB">
        <w:tblPrEx>
          <w:tblCellMar>
            <w:top w:w="0" w:type="dxa"/>
            <w:left w:w="108" w:type="dxa"/>
            <w:bottom w:w="0" w:type="dxa"/>
            <w:right w:w="108" w:type="dxa"/>
          </w:tblCellMar>
        </w:tblPrEx>
        <w:trPr>
          <w:trHeight w:val="204" w:hRule="atLeast"/>
          <w:jc w:val="center"/>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0E9CF6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校级</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91C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006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p>
        </w:tc>
        <w:tc>
          <w:tcPr>
            <w:tcW w:w="1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326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14:paraId="408B1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r>
    </w:tbl>
    <w:p w14:paraId="567D2B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.相关成果和奖项应为当年综合测评周期内获得。</w:t>
      </w:r>
    </w:p>
    <w:p w14:paraId="5DCDFF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.赛事级别以当年</w:t>
      </w:r>
      <w:r>
        <w:rPr>
          <w:rFonts w:hint="eastAsia" w:ascii="Times New Roman" w:hAnsi="Times New Roman" w:eastAsia="仿宋_GB2312"/>
          <w:color w:val="auto"/>
          <w:sz w:val="32"/>
          <w:szCs w:val="32"/>
        </w:rPr>
        <w:t>创新创业学院</w:t>
      </w:r>
      <w:r>
        <w:rPr>
          <w:rFonts w:ascii="Times New Roman" w:hAnsi="Times New Roman" w:eastAsia="仿宋_GB2312"/>
          <w:color w:val="auto"/>
          <w:sz w:val="32"/>
          <w:szCs w:val="32"/>
        </w:rPr>
        <w:t>认定发布的《</w:t>
      </w:r>
      <w:r>
        <w:rPr>
          <w:rFonts w:hint="eastAsia" w:ascii="Times New Roman" w:hAnsi="Times New Roman" w:eastAsia="仿宋_GB2312"/>
          <w:color w:val="auto"/>
          <w:sz w:val="32"/>
          <w:szCs w:val="32"/>
        </w:rPr>
        <w:t>中国石油大学（北京）克拉玛依校区创新创业竞赛认定目录</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规定为准。获奖以证书为准，同一项目仅取最高奖励级别加分。</w:t>
      </w:r>
    </w:p>
    <w:p w14:paraId="60FA4C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.A级赛事加分系数为1.5；B级赛事加分系数为1.0；C级赛事加分系数为0.5；D级赛事加分系数为0.3。</w:t>
      </w:r>
    </w:p>
    <w:p w14:paraId="79AB5F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5</w:t>
      </w:r>
      <w:r>
        <w:rPr>
          <w:rFonts w:ascii="Times New Roman" w:hAnsi="Times New Roman" w:eastAsia="仿宋_GB2312"/>
          <w:color w:val="auto"/>
          <w:sz w:val="32"/>
          <w:szCs w:val="32"/>
          <w:highlight w:val="none"/>
        </w:rPr>
        <w:t>.A级赛事中如设有特等奖，特等奖等同一等奖，一等奖等同二等奖，以此类推，</w:t>
      </w:r>
      <w:r>
        <w:rPr>
          <w:rFonts w:hint="eastAsia" w:ascii="Times New Roman" w:hAnsi="Times New Roman" w:eastAsia="仿宋_GB2312"/>
          <w:color w:val="auto"/>
          <w:sz w:val="32"/>
          <w:szCs w:val="32"/>
          <w:highlight w:val="none"/>
          <w:lang w:val="en-US" w:eastAsia="zh-CN"/>
        </w:rPr>
        <w:t>国家级</w:t>
      </w:r>
      <w:r>
        <w:rPr>
          <w:rFonts w:hint="eastAsia" w:ascii="Times New Roman" w:hAnsi="Times New Roman" w:eastAsia="仿宋_GB2312"/>
          <w:color w:val="auto"/>
          <w:sz w:val="32"/>
          <w:szCs w:val="32"/>
          <w:highlight w:val="none"/>
        </w:rPr>
        <w:t>三等奖（铜奖）按照省部级一等奖（金奖）加分，该赛事省部级一等奖（金奖）加分减半。</w:t>
      </w:r>
      <w:r>
        <w:rPr>
          <w:rFonts w:ascii="Times New Roman" w:hAnsi="Times New Roman" w:eastAsia="仿宋_GB2312"/>
          <w:color w:val="auto"/>
          <w:sz w:val="32"/>
          <w:szCs w:val="32"/>
          <w:highlight w:val="none"/>
        </w:rPr>
        <w:t>B级赛事中如设有特等奖且仅有唯一项目获得特等奖，则该赛事特等奖加</w:t>
      </w:r>
      <w:r>
        <w:rPr>
          <w:rFonts w:hint="eastAsia" w:ascii="Times New Roman" w:hAnsi="Times New Roman" w:eastAsia="仿宋_GB2312"/>
          <w:color w:val="auto"/>
          <w:sz w:val="32"/>
          <w:szCs w:val="32"/>
          <w:highlight w:val="none"/>
        </w:rPr>
        <w:t>分系数为</w:t>
      </w:r>
      <w:r>
        <w:rPr>
          <w:rFonts w:ascii="Times New Roman" w:hAnsi="Times New Roman" w:eastAsia="仿宋_GB2312"/>
          <w:color w:val="auto"/>
          <w:sz w:val="32"/>
          <w:szCs w:val="32"/>
          <w:highlight w:val="none"/>
        </w:rPr>
        <w:t>1.2，一等奖加分不变；其他特等奖等同一等奖，一等奖等同二等奖，以此</w:t>
      </w:r>
      <w:r>
        <w:rPr>
          <w:rFonts w:hint="eastAsia" w:ascii="Times New Roman" w:hAnsi="Times New Roman" w:eastAsia="仿宋_GB2312"/>
          <w:color w:val="auto"/>
          <w:sz w:val="32"/>
          <w:szCs w:val="32"/>
          <w:highlight w:val="none"/>
        </w:rPr>
        <w:t>类推。</w:t>
      </w:r>
    </w:p>
    <w:p w14:paraId="2183F0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.竞赛项目个人参加者可获得对应级别加分，组队参加者分以下两种情况：（1）</w:t>
      </w:r>
      <w:r>
        <w:rPr>
          <w:rFonts w:hint="eastAsia" w:ascii="Times New Roman" w:hAnsi="Times New Roman" w:eastAsia="仿宋_GB2312"/>
          <w:color w:val="auto"/>
          <w:sz w:val="32"/>
          <w:szCs w:val="32"/>
        </w:rPr>
        <w:t>项目不设队长，所有成员按对应级别加分的</w:t>
      </w:r>
      <w:r>
        <w:rPr>
          <w:rFonts w:ascii="Times New Roman" w:hAnsi="Times New Roman" w:eastAsia="仿宋_GB2312"/>
          <w:color w:val="auto"/>
          <w:sz w:val="32"/>
          <w:szCs w:val="32"/>
        </w:rPr>
        <w:t>1/2加分；（2）项目设队长，队长按对</w:t>
      </w:r>
      <w:r>
        <w:rPr>
          <w:rFonts w:hint="eastAsia" w:ascii="Times New Roman" w:hAnsi="Times New Roman" w:eastAsia="仿宋_GB2312"/>
          <w:color w:val="auto"/>
          <w:sz w:val="32"/>
          <w:szCs w:val="32"/>
        </w:rPr>
        <w:t>应级别加分的</w:t>
      </w:r>
      <w:r>
        <w:rPr>
          <w:rFonts w:ascii="Times New Roman" w:hAnsi="Times New Roman" w:eastAsia="仿宋_GB2312"/>
          <w:color w:val="auto"/>
          <w:sz w:val="32"/>
          <w:szCs w:val="32"/>
        </w:rPr>
        <w:t>2/3加分，其他成员按对应级别加分的1/2加分。</w:t>
      </w:r>
    </w:p>
    <w:p w14:paraId="5DAF0A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.每人获多个奖项的，各项分值可累加，但校级赛事加分上限不超过10分。</w:t>
      </w:r>
    </w:p>
    <w:p w14:paraId="45B0B7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8</w:t>
      </w:r>
      <w:r>
        <w:rPr>
          <w:rFonts w:ascii="Times New Roman" w:hAnsi="Times New Roman" w:eastAsia="仿宋_GB2312"/>
          <w:color w:val="auto"/>
          <w:sz w:val="32"/>
          <w:szCs w:val="32"/>
        </w:rPr>
        <w:t>.以第一负责人主持国家级大学生创新创业训练计划项目并结题，限1项，加5分。</w:t>
      </w:r>
    </w:p>
    <w:p w14:paraId="01E0E4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9.美国大学生数学建模竞赛</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O、F为一等奖，M</w:t>
      </w:r>
      <w:r>
        <w:rPr>
          <w:rFonts w:hint="eastAsia" w:ascii="Times New Roman" w:hAnsi="Times New Roman" w:eastAsia="仿宋_GB2312"/>
          <w:color w:val="auto"/>
          <w:sz w:val="32"/>
          <w:szCs w:val="32"/>
          <w:lang w:val="en-US" w:eastAsia="zh-CN"/>
        </w:rPr>
        <w:t>为</w:t>
      </w:r>
      <w:r>
        <w:rPr>
          <w:rFonts w:ascii="Times New Roman" w:hAnsi="Times New Roman" w:eastAsia="仿宋_GB2312"/>
          <w:color w:val="auto"/>
          <w:sz w:val="32"/>
          <w:szCs w:val="32"/>
        </w:rPr>
        <w:t>二等奖，H</w:t>
      </w:r>
      <w:r>
        <w:rPr>
          <w:rFonts w:hint="eastAsia" w:ascii="Times New Roman" w:hAnsi="Times New Roman" w:eastAsia="仿宋_GB2312"/>
          <w:color w:val="auto"/>
          <w:sz w:val="32"/>
          <w:szCs w:val="32"/>
          <w:lang w:val="en-US" w:eastAsia="zh-CN"/>
        </w:rPr>
        <w:t>为</w:t>
      </w:r>
      <w:r>
        <w:rPr>
          <w:rFonts w:ascii="Times New Roman" w:hAnsi="Times New Roman" w:eastAsia="仿宋_GB2312"/>
          <w:color w:val="auto"/>
          <w:sz w:val="32"/>
          <w:szCs w:val="32"/>
        </w:rPr>
        <w:t>三等奖，S</w:t>
      </w:r>
      <w:r>
        <w:rPr>
          <w:rFonts w:hint="eastAsia" w:ascii="Times New Roman" w:hAnsi="Times New Roman" w:eastAsia="仿宋_GB2312"/>
          <w:color w:val="auto"/>
          <w:sz w:val="32"/>
          <w:szCs w:val="32"/>
          <w:lang w:val="en-US" w:eastAsia="zh-CN"/>
        </w:rPr>
        <w:t>奖</w:t>
      </w:r>
      <w:r>
        <w:rPr>
          <w:rFonts w:ascii="Times New Roman" w:hAnsi="Times New Roman" w:eastAsia="仿宋_GB2312"/>
          <w:color w:val="auto"/>
          <w:sz w:val="32"/>
          <w:szCs w:val="32"/>
        </w:rPr>
        <w:t>不加分。</w:t>
      </w:r>
      <w:r>
        <w:rPr>
          <w:rFonts w:hint="eastAsia" w:ascii="Times New Roman" w:hAnsi="Times New Roman" w:eastAsia="仿宋_GB2312"/>
          <w:color w:val="auto"/>
          <w:sz w:val="32"/>
          <w:szCs w:val="32"/>
          <w:lang w:val="en-US" w:eastAsia="zh-CN"/>
        </w:rPr>
        <w:t>全国大学生英语竞赛的特等奖、一等奖为省级，二等奖、三等奖为校级。</w:t>
      </w:r>
    </w:p>
    <w:p w14:paraId="28F410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10.本科期间发表论文或获得国家发明专利，第一单位为中国石</w:t>
      </w:r>
      <w:r>
        <w:rPr>
          <w:rFonts w:hint="eastAsia" w:ascii="Times New Roman" w:hAnsi="Times New Roman" w:eastAsia="仿宋_GB2312"/>
          <w:color w:val="auto"/>
          <w:sz w:val="32"/>
          <w:szCs w:val="32"/>
        </w:rPr>
        <w:t>油大学（北京）克拉玛依校区并有图书馆检索证明才可加分，若第一作者为指导教师，学生为第二作者，学生可按第一作者加分，具体标准如下：</w:t>
      </w:r>
    </w:p>
    <w:tbl>
      <w:tblPr>
        <w:tblStyle w:val="4"/>
        <w:tblW w:w="45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941"/>
        <w:gridCol w:w="942"/>
        <w:gridCol w:w="942"/>
        <w:gridCol w:w="785"/>
        <w:gridCol w:w="785"/>
        <w:gridCol w:w="873"/>
      </w:tblGrid>
      <w:tr w14:paraId="4E6D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36328B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成果类别</w:t>
            </w:r>
          </w:p>
        </w:tc>
        <w:tc>
          <w:tcPr>
            <w:tcW w:w="570" w:type="pct"/>
            <w:shd w:val="clear" w:color="auto" w:fill="auto"/>
            <w:noWrap/>
            <w:vAlign w:val="bottom"/>
          </w:tcPr>
          <w:p w14:paraId="09CD3A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第一</w:t>
            </w:r>
          </w:p>
          <w:p w14:paraId="54FF8A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作者</w:t>
            </w:r>
          </w:p>
        </w:tc>
        <w:tc>
          <w:tcPr>
            <w:tcW w:w="571" w:type="pct"/>
            <w:shd w:val="clear" w:color="auto" w:fill="auto"/>
            <w:noWrap/>
            <w:vAlign w:val="bottom"/>
          </w:tcPr>
          <w:p w14:paraId="195FC7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第二</w:t>
            </w:r>
          </w:p>
          <w:p w14:paraId="6A67B8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作者</w:t>
            </w:r>
          </w:p>
        </w:tc>
        <w:tc>
          <w:tcPr>
            <w:tcW w:w="571" w:type="pct"/>
            <w:shd w:val="clear" w:color="auto" w:fill="auto"/>
            <w:noWrap/>
            <w:vAlign w:val="bottom"/>
          </w:tcPr>
          <w:p w14:paraId="33FCAC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第三</w:t>
            </w:r>
          </w:p>
          <w:p w14:paraId="28174A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作者</w:t>
            </w:r>
          </w:p>
        </w:tc>
        <w:tc>
          <w:tcPr>
            <w:tcW w:w="475" w:type="pct"/>
            <w:shd w:val="clear" w:color="auto" w:fill="auto"/>
            <w:noWrap/>
            <w:vAlign w:val="bottom"/>
          </w:tcPr>
          <w:p w14:paraId="209B98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第四作者</w:t>
            </w:r>
          </w:p>
        </w:tc>
        <w:tc>
          <w:tcPr>
            <w:tcW w:w="475" w:type="pct"/>
            <w:shd w:val="clear" w:color="auto" w:fill="auto"/>
            <w:noWrap/>
            <w:vAlign w:val="bottom"/>
          </w:tcPr>
          <w:p w14:paraId="0C39C7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第五作者</w:t>
            </w:r>
          </w:p>
        </w:tc>
        <w:tc>
          <w:tcPr>
            <w:tcW w:w="529" w:type="pct"/>
            <w:shd w:val="clear" w:color="auto" w:fill="auto"/>
            <w:noWrap/>
            <w:vAlign w:val="bottom"/>
          </w:tcPr>
          <w:p w14:paraId="1FB3C3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第六作者</w:t>
            </w:r>
          </w:p>
        </w:tc>
      </w:tr>
      <w:tr w14:paraId="2DD1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69AF22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中科院JCR 1区文章</w:t>
            </w:r>
          </w:p>
        </w:tc>
        <w:tc>
          <w:tcPr>
            <w:tcW w:w="570" w:type="pct"/>
            <w:shd w:val="clear" w:color="auto" w:fill="auto"/>
            <w:noWrap/>
            <w:vAlign w:val="bottom"/>
          </w:tcPr>
          <w:p w14:paraId="75A2CF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15</w:t>
            </w:r>
          </w:p>
        </w:tc>
        <w:tc>
          <w:tcPr>
            <w:tcW w:w="571" w:type="pct"/>
            <w:shd w:val="clear" w:color="auto" w:fill="auto"/>
            <w:noWrap/>
            <w:vAlign w:val="bottom"/>
          </w:tcPr>
          <w:p w14:paraId="01FBC7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7</w:t>
            </w:r>
          </w:p>
        </w:tc>
        <w:tc>
          <w:tcPr>
            <w:tcW w:w="571" w:type="pct"/>
            <w:shd w:val="clear" w:color="auto" w:fill="auto"/>
            <w:noWrap/>
            <w:vAlign w:val="bottom"/>
          </w:tcPr>
          <w:p w14:paraId="331540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p>
        </w:tc>
        <w:tc>
          <w:tcPr>
            <w:tcW w:w="475" w:type="pct"/>
            <w:shd w:val="clear" w:color="auto" w:fill="auto"/>
            <w:noWrap/>
            <w:vAlign w:val="bottom"/>
          </w:tcPr>
          <w:p w14:paraId="515459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475" w:type="pct"/>
            <w:shd w:val="clear" w:color="auto" w:fill="auto"/>
            <w:noWrap/>
            <w:vAlign w:val="bottom"/>
          </w:tcPr>
          <w:p w14:paraId="2BF004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c>
          <w:tcPr>
            <w:tcW w:w="529" w:type="pct"/>
            <w:shd w:val="clear" w:color="auto" w:fill="auto"/>
            <w:noWrap/>
            <w:vAlign w:val="bottom"/>
          </w:tcPr>
          <w:p w14:paraId="31EB60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0.5</w:t>
            </w:r>
          </w:p>
        </w:tc>
      </w:tr>
      <w:tr w14:paraId="6107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5E9AD6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中科院JCR 2区文章</w:t>
            </w:r>
          </w:p>
        </w:tc>
        <w:tc>
          <w:tcPr>
            <w:tcW w:w="570" w:type="pct"/>
            <w:shd w:val="clear" w:color="auto" w:fill="auto"/>
            <w:noWrap/>
            <w:vAlign w:val="bottom"/>
          </w:tcPr>
          <w:p w14:paraId="579128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9</w:t>
            </w:r>
          </w:p>
        </w:tc>
        <w:tc>
          <w:tcPr>
            <w:tcW w:w="571" w:type="pct"/>
            <w:shd w:val="clear" w:color="auto" w:fill="auto"/>
            <w:noWrap/>
            <w:vAlign w:val="bottom"/>
          </w:tcPr>
          <w:p w14:paraId="76DD41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c>
          <w:tcPr>
            <w:tcW w:w="571" w:type="pct"/>
            <w:shd w:val="clear" w:color="auto" w:fill="auto"/>
            <w:noWrap/>
            <w:vAlign w:val="bottom"/>
          </w:tcPr>
          <w:p w14:paraId="212AA1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475" w:type="pct"/>
            <w:shd w:val="clear" w:color="auto" w:fill="auto"/>
            <w:noWrap/>
            <w:vAlign w:val="bottom"/>
          </w:tcPr>
          <w:p w14:paraId="7B8D8B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1.5</w:t>
            </w:r>
          </w:p>
        </w:tc>
        <w:tc>
          <w:tcPr>
            <w:tcW w:w="475" w:type="pct"/>
            <w:shd w:val="clear" w:color="auto" w:fill="auto"/>
            <w:noWrap/>
            <w:vAlign w:val="bottom"/>
          </w:tcPr>
          <w:p w14:paraId="001FA5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c>
          <w:tcPr>
            <w:tcW w:w="529" w:type="pct"/>
            <w:shd w:val="clear" w:color="auto" w:fill="auto"/>
            <w:noWrap/>
            <w:vAlign w:val="bottom"/>
          </w:tcPr>
          <w:p w14:paraId="592AFB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p>
        </w:tc>
      </w:tr>
      <w:tr w14:paraId="3E2D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69B8DA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中科院JCR 3区文章</w:t>
            </w:r>
          </w:p>
        </w:tc>
        <w:tc>
          <w:tcPr>
            <w:tcW w:w="570" w:type="pct"/>
            <w:shd w:val="clear" w:color="auto" w:fill="auto"/>
            <w:noWrap/>
            <w:vAlign w:val="bottom"/>
          </w:tcPr>
          <w:p w14:paraId="04C890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5</w:t>
            </w:r>
          </w:p>
        </w:tc>
        <w:tc>
          <w:tcPr>
            <w:tcW w:w="571" w:type="pct"/>
            <w:shd w:val="clear" w:color="auto" w:fill="auto"/>
            <w:noWrap/>
            <w:vAlign w:val="bottom"/>
          </w:tcPr>
          <w:p w14:paraId="1D563F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571" w:type="pct"/>
            <w:shd w:val="clear" w:color="auto" w:fill="auto"/>
            <w:noWrap/>
            <w:vAlign w:val="bottom"/>
          </w:tcPr>
          <w:p w14:paraId="10CC59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c>
          <w:tcPr>
            <w:tcW w:w="475" w:type="pct"/>
            <w:shd w:val="clear" w:color="auto" w:fill="auto"/>
            <w:noWrap/>
            <w:vAlign w:val="bottom"/>
          </w:tcPr>
          <w:p w14:paraId="0A8E49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0.5</w:t>
            </w:r>
          </w:p>
        </w:tc>
        <w:tc>
          <w:tcPr>
            <w:tcW w:w="1005" w:type="pct"/>
            <w:gridSpan w:val="2"/>
            <w:shd w:val="clear" w:color="auto" w:fill="auto"/>
            <w:noWrap/>
            <w:vAlign w:val="bottom"/>
          </w:tcPr>
          <w:p w14:paraId="0FB56D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p>
        </w:tc>
      </w:tr>
      <w:tr w14:paraId="0C5E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7D571E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中科院JCR 4区文章</w:t>
            </w:r>
          </w:p>
        </w:tc>
        <w:tc>
          <w:tcPr>
            <w:tcW w:w="570" w:type="pct"/>
            <w:shd w:val="clear" w:color="auto" w:fill="auto"/>
            <w:noWrap/>
            <w:vAlign w:val="bottom"/>
          </w:tcPr>
          <w:p w14:paraId="40AEA7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p>
        </w:tc>
        <w:tc>
          <w:tcPr>
            <w:tcW w:w="571" w:type="pct"/>
            <w:shd w:val="clear" w:color="auto" w:fill="auto"/>
            <w:noWrap/>
            <w:vAlign w:val="bottom"/>
          </w:tcPr>
          <w:p w14:paraId="075DCE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571" w:type="pct"/>
            <w:shd w:val="clear" w:color="auto" w:fill="auto"/>
            <w:noWrap/>
            <w:vAlign w:val="bottom"/>
          </w:tcPr>
          <w:p w14:paraId="34CD59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0.5</w:t>
            </w:r>
          </w:p>
        </w:tc>
        <w:tc>
          <w:tcPr>
            <w:tcW w:w="1480" w:type="pct"/>
            <w:gridSpan w:val="3"/>
            <w:shd w:val="clear" w:color="auto" w:fill="auto"/>
            <w:noWrap/>
            <w:vAlign w:val="bottom"/>
          </w:tcPr>
          <w:p w14:paraId="13179FE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color w:val="auto"/>
                <w:kern w:val="0"/>
                <w:sz w:val="24"/>
                <w:szCs w:val="24"/>
              </w:rPr>
            </w:pPr>
          </w:p>
        </w:tc>
      </w:tr>
      <w:tr w14:paraId="12AD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0F445A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EI文章</w:t>
            </w:r>
          </w:p>
        </w:tc>
        <w:tc>
          <w:tcPr>
            <w:tcW w:w="570" w:type="pct"/>
            <w:shd w:val="clear" w:color="auto" w:fill="auto"/>
            <w:noWrap/>
            <w:vAlign w:val="bottom"/>
          </w:tcPr>
          <w:p w14:paraId="3B66F4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571" w:type="pct"/>
            <w:shd w:val="clear" w:color="auto" w:fill="auto"/>
            <w:noWrap/>
            <w:vAlign w:val="bottom"/>
          </w:tcPr>
          <w:p w14:paraId="77B1BD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c>
          <w:tcPr>
            <w:tcW w:w="2052" w:type="pct"/>
            <w:gridSpan w:val="4"/>
            <w:shd w:val="clear" w:color="auto" w:fill="auto"/>
            <w:noWrap/>
            <w:vAlign w:val="bottom"/>
          </w:tcPr>
          <w:p w14:paraId="7AAE7AE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color w:val="auto"/>
                <w:kern w:val="0"/>
                <w:sz w:val="24"/>
                <w:szCs w:val="24"/>
              </w:rPr>
            </w:pPr>
          </w:p>
        </w:tc>
      </w:tr>
      <w:tr w14:paraId="4C49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1C6A4C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中文核心期刊</w:t>
            </w:r>
          </w:p>
        </w:tc>
        <w:tc>
          <w:tcPr>
            <w:tcW w:w="570" w:type="pct"/>
            <w:shd w:val="clear" w:color="auto" w:fill="auto"/>
            <w:noWrap/>
            <w:vAlign w:val="center"/>
          </w:tcPr>
          <w:p w14:paraId="2AE802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c>
          <w:tcPr>
            <w:tcW w:w="571" w:type="pct"/>
            <w:shd w:val="clear" w:color="auto" w:fill="auto"/>
            <w:noWrap/>
            <w:vAlign w:val="center"/>
          </w:tcPr>
          <w:p w14:paraId="21AA18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0.5</w:t>
            </w:r>
          </w:p>
        </w:tc>
        <w:tc>
          <w:tcPr>
            <w:tcW w:w="2052" w:type="pct"/>
            <w:gridSpan w:val="4"/>
            <w:shd w:val="clear" w:color="auto" w:fill="auto"/>
            <w:noWrap/>
            <w:vAlign w:val="bottom"/>
          </w:tcPr>
          <w:p w14:paraId="1FDBBF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color w:val="auto"/>
                <w:kern w:val="0"/>
                <w:sz w:val="24"/>
                <w:szCs w:val="24"/>
              </w:rPr>
            </w:pPr>
          </w:p>
        </w:tc>
      </w:tr>
      <w:tr w14:paraId="3CDA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806" w:type="pct"/>
            <w:shd w:val="clear" w:color="auto" w:fill="auto"/>
            <w:vAlign w:val="center"/>
          </w:tcPr>
          <w:p w14:paraId="082B6C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国家发明专利</w:t>
            </w:r>
          </w:p>
        </w:tc>
        <w:tc>
          <w:tcPr>
            <w:tcW w:w="570" w:type="pct"/>
            <w:shd w:val="clear" w:color="auto" w:fill="auto"/>
            <w:noWrap/>
            <w:vAlign w:val="bottom"/>
          </w:tcPr>
          <w:p w14:paraId="710268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c>
          <w:tcPr>
            <w:tcW w:w="571" w:type="pct"/>
            <w:shd w:val="clear" w:color="auto" w:fill="auto"/>
            <w:noWrap/>
            <w:vAlign w:val="bottom"/>
          </w:tcPr>
          <w:p w14:paraId="04675B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2052" w:type="pct"/>
            <w:gridSpan w:val="4"/>
            <w:shd w:val="clear" w:color="auto" w:fill="auto"/>
            <w:noWrap/>
            <w:vAlign w:val="bottom"/>
          </w:tcPr>
          <w:p w14:paraId="2B82328D">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auto"/>
                <w:kern w:val="0"/>
                <w:sz w:val="24"/>
                <w:szCs w:val="24"/>
              </w:rPr>
            </w:pPr>
          </w:p>
        </w:tc>
      </w:tr>
    </w:tbl>
    <w:p w14:paraId="0940F2C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注：空白处均不加分。</w:t>
      </w:r>
    </w:p>
    <w:p w14:paraId="076A5D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汉语言文学专业学生以第一作者身份在市级及以上报刊媒体上发表文学类作品的，按照国家级报刊0.8分、省部级报刊0.5分、市级报刊0.3分标准进行加分。其中，国家级和省部级报刊最多累加2项，市级报刊最多累加3项。</w:t>
      </w:r>
    </w:p>
    <w:p w14:paraId="5D09E3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11.</w:t>
      </w:r>
      <w:r>
        <w:rPr>
          <w:rFonts w:hint="eastAsia" w:ascii="Times New Roman" w:hAnsi="Times New Roman" w:eastAsia="仿宋_GB2312"/>
          <w:color w:val="auto"/>
          <w:sz w:val="32"/>
          <w:szCs w:val="32"/>
        </w:rPr>
        <w:t>一个计算周期内</w:t>
      </w:r>
      <w:r>
        <w:rPr>
          <w:rFonts w:hint="eastAsia" w:ascii="Times New Roman" w:hAnsi="Times New Roman" w:eastAsia="仿宋_GB2312"/>
          <w:color w:val="auto"/>
          <w:sz w:val="32"/>
          <w:szCs w:val="32"/>
          <w:lang w:val="en-US" w:eastAsia="zh-CN"/>
        </w:rPr>
        <w:t>在</w:t>
      </w:r>
      <w:r>
        <w:rPr>
          <w:rFonts w:hint="eastAsia" w:ascii="Times New Roman" w:hAnsi="Times New Roman" w:eastAsia="仿宋_GB2312"/>
          <w:color w:val="auto"/>
          <w:sz w:val="32"/>
          <w:szCs w:val="32"/>
        </w:rPr>
        <w:t>同一比赛</w:t>
      </w:r>
      <w:r>
        <w:rPr>
          <w:rFonts w:hint="eastAsia" w:ascii="Times New Roman" w:hAnsi="Times New Roman" w:eastAsia="仿宋_GB2312"/>
          <w:color w:val="auto"/>
          <w:sz w:val="32"/>
          <w:szCs w:val="32"/>
          <w:lang w:val="en-US" w:eastAsia="zh-CN"/>
        </w:rPr>
        <w:t>中</w:t>
      </w:r>
      <w:r>
        <w:rPr>
          <w:rFonts w:hint="eastAsia" w:ascii="Times New Roman" w:hAnsi="Times New Roman" w:eastAsia="仿宋_GB2312"/>
          <w:color w:val="auto"/>
          <w:sz w:val="32"/>
          <w:szCs w:val="32"/>
        </w:rPr>
        <w:t>获得多个奖项的，只取最高等级奖项进行加分。同一比赛同一项目原则上只可</w:t>
      </w:r>
      <w:r>
        <w:rPr>
          <w:rFonts w:hint="eastAsia" w:ascii="Times New Roman" w:hAnsi="Times New Roman" w:eastAsia="仿宋_GB2312"/>
          <w:color w:val="auto"/>
          <w:sz w:val="32"/>
          <w:szCs w:val="32"/>
          <w:lang w:val="en-US" w:eastAsia="zh-CN"/>
        </w:rPr>
        <w:t>计入一次智育加分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若申报</w:t>
      </w:r>
      <w:r>
        <w:rPr>
          <w:rFonts w:hint="eastAsia" w:ascii="Times New Roman" w:hAnsi="Times New Roman" w:eastAsia="仿宋_GB2312"/>
          <w:color w:val="auto"/>
          <w:sz w:val="32"/>
          <w:szCs w:val="32"/>
          <w:lang w:val="en-US" w:eastAsia="zh-CN"/>
        </w:rPr>
        <w:t>过一次</w:t>
      </w:r>
      <w:r>
        <w:rPr>
          <w:rFonts w:hint="eastAsia" w:ascii="Times New Roman" w:hAnsi="Times New Roman" w:eastAsia="仿宋_GB2312"/>
          <w:color w:val="auto"/>
          <w:sz w:val="32"/>
          <w:szCs w:val="32"/>
        </w:rPr>
        <w:t>加分后，</w:t>
      </w:r>
      <w:r>
        <w:rPr>
          <w:rFonts w:hint="eastAsia" w:ascii="Times New Roman" w:hAnsi="Times New Roman" w:eastAsia="仿宋_GB2312"/>
          <w:color w:val="auto"/>
          <w:sz w:val="32"/>
          <w:szCs w:val="32"/>
          <w:lang w:val="en-US" w:eastAsia="zh-CN"/>
        </w:rPr>
        <w:t>次年同一项目</w:t>
      </w:r>
      <w:r>
        <w:rPr>
          <w:rFonts w:hint="eastAsia" w:ascii="Times New Roman" w:hAnsi="Times New Roman" w:eastAsia="仿宋_GB2312"/>
          <w:color w:val="auto"/>
          <w:sz w:val="32"/>
          <w:szCs w:val="32"/>
        </w:rPr>
        <w:t>获更高级别荣誉，</w:t>
      </w:r>
      <w:r>
        <w:rPr>
          <w:rFonts w:hint="eastAsia" w:ascii="Times New Roman" w:hAnsi="Times New Roman" w:eastAsia="仿宋_GB2312"/>
          <w:color w:val="auto"/>
          <w:sz w:val="32"/>
          <w:szCs w:val="32"/>
          <w:lang w:val="en-US" w:eastAsia="zh-CN"/>
        </w:rPr>
        <w:t>则不予计入</w:t>
      </w:r>
      <w:r>
        <w:rPr>
          <w:rFonts w:hint="eastAsia" w:ascii="Times New Roman" w:hAnsi="Times New Roman" w:eastAsia="仿宋_GB2312"/>
          <w:color w:val="auto"/>
          <w:sz w:val="32"/>
          <w:szCs w:val="32"/>
        </w:rPr>
        <w:t>。（例</w:t>
      </w:r>
      <w:r>
        <w:rPr>
          <w:rFonts w:hint="eastAsia" w:ascii="Times New Roman" w:hAnsi="Times New Roman" w:eastAsia="仿宋_GB2312"/>
          <w:color w:val="auto"/>
          <w:sz w:val="32"/>
          <w:szCs w:val="32"/>
          <w:lang w:val="en-US" w:eastAsia="zh-CN"/>
        </w:rPr>
        <w:t>如，在当年</w:t>
      </w:r>
      <w:r>
        <w:rPr>
          <w:rFonts w:hint="eastAsia" w:ascii="Times New Roman" w:hAnsi="Times New Roman" w:eastAsia="仿宋_GB2312"/>
          <w:color w:val="auto"/>
          <w:sz w:val="32"/>
          <w:szCs w:val="32"/>
        </w:rPr>
        <w:t>获得中国国际大学生创新大赛省级奖项</w:t>
      </w:r>
      <w:r>
        <w:rPr>
          <w:rFonts w:hint="eastAsia" w:ascii="Times New Roman" w:hAnsi="Times New Roman" w:eastAsia="仿宋_GB2312"/>
          <w:color w:val="auto"/>
          <w:sz w:val="32"/>
          <w:szCs w:val="32"/>
          <w:lang w:val="en-US" w:eastAsia="zh-CN"/>
        </w:rPr>
        <w:t>并</w:t>
      </w:r>
      <w:r>
        <w:rPr>
          <w:rFonts w:hint="eastAsia" w:ascii="Times New Roman" w:hAnsi="Times New Roman" w:eastAsia="仿宋_GB2312"/>
          <w:color w:val="auto"/>
          <w:sz w:val="32"/>
          <w:szCs w:val="32"/>
        </w:rPr>
        <w:t>已申请</w:t>
      </w:r>
      <w:r>
        <w:rPr>
          <w:rFonts w:hint="eastAsia" w:ascii="Times New Roman" w:hAnsi="Times New Roman" w:eastAsia="仿宋_GB2312"/>
          <w:color w:val="auto"/>
          <w:sz w:val="32"/>
          <w:szCs w:val="32"/>
          <w:lang w:val="en-US" w:eastAsia="zh-CN"/>
        </w:rPr>
        <w:t>智育</w:t>
      </w:r>
      <w:r>
        <w:rPr>
          <w:rFonts w:hint="eastAsia" w:ascii="Times New Roman" w:hAnsi="Times New Roman" w:eastAsia="仿宋_GB2312"/>
          <w:color w:val="auto"/>
          <w:sz w:val="32"/>
          <w:szCs w:val="32"/>
        </w:rPr>
        <w:t>加分，</w:t>
      </w:r>
      <w:r>
        <w:rPr>
          <w:rFonts w:hint="eastAsia" w:ascii="Times New Roman" w:hAnsi="Times New Roman" w:eastAsia="仿宋_GB2312"/>
          <w:color w:val="auto"/>
          <w:sz w:val="32"/>
          <w:szCs w:val="32"/>
          <w:lang w:val="en-US" w:eastAsia="zh-CN"/>
        </w:rPr>
        <w:t>第二年该项目获得</w:t>
      </w:r>
      <w:r>
        <w:rPr>
          <w:rFonts w:hint="eastAsia" w:ascii="Times New Roman" w:hAnsi="Times New Roman" w:eastAsia="仿宋_GB2312"/>
          <w:color w:val="auto"/>
          <w:sz w:val="32"/>
          <w:szCs w:val="32"/>
        </w:rPr>
        <w:t>国家级奖项</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则不予计入第二年的的智育加分</w:t>
      </w:r>
      <w:r>
        <w:rPr>
          <w:rFonts w:hint="eastAsia" w:ascii="Times New Roman" w:hAnsi="Times New Roman" w:eastAsia="仿宋_GB2312"/>
          <w:color w:val="auto"/>
          <w:sz w:val="32"/>
          <w:szCs w:val="32"/>
        </w:rPr>
        <w:t>）。</w:t>
      </w:r>
    </w:p>
    <w:p w14:paraId="0EC113D5">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五、体育测评</w:t>
      </w:r>
    </w:p>
    <w:p w14:paraId="202292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体育成绩（</w:t>
      </w:r>
      <w:r>
        <w:rPr>
          <w:rFonts w:ascii="Times New Roman" w:hAnsi="Times New Roman" w:eastAsia="仿宋_GB2312"/>
          <w:color w:val="auto"/>
          <w:sz w:val="32"/>
          <w:szCs w:val="32"/>
        </w:rPr>
        <w:t>100分）＝</w:t>
      </w:r>
      <w:bookmarkStart w:id="3" w:name="OLE_LINK3"/>
      <w:r>
        <w:rPr>
          <w:rFonts w:ascii="Times New Roman" w:hAnsi="Times New Roman" w:eastAsia="仿宋_GB2312"/>
          <w:color w:val="auto"/>
          <w:sz w:val="32"/>
          <w:szCs w:val="32"/>
        </w:rPr>
        <w:t>体育锻炼成绩</w:t>
      </w:r>
      <w:bookmarkEnd w:id="3"/>
      <w:r>
        <w:rPr>
          <w:rFonts w:ascii="Times New Roman" w:hAnsi="Times New Roman" w:eastAsia="仿宋_GB2312"/>
          <w:color w:val="auto"/>
          <w:sz w:val="32"/>
          <w:szCs w:val="32"/>
        </w:rPr>
        <w:t>（70分）＋体育加分（30分）</w:t>
      </w:r>
      <w:r>
        <w:rPr>
          <w:rFonts w:hint="eastAsia" w:ascii="Times New Roman" w:hAnsi="Times New Roman" w:eastAsia="仿宋_GB2312"/>
          <w:color w:val="auto"/>
          <w:sz w:val="32"/>
          <w:szCs w:val="32"/>
        </w:rPr>
        <w:t>。</w:t>
      </w:r>
    </w:p>
    <w:p w14:paraId="3119C4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（一）体育基础分：体育锻炼成绩（</w:t>
      </w:r>
      <w:r>
        <w:rPr>
          <w:rFonts w:ascii="Times New Roman" w:hAnsi="Times New Roman" w:eastAsia="仿宋_GB2312"/>
          <w:color w:val="auto"/>
          <w:sz w:val="32"/>
          <w:szCs w:val="32"/>
        </w:rPr>
        <w:t>70分）</w:t>
      </w:r>
    </w:p>
    <w:p w14:paraId="536353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体育锻炼成绩</w:t>
      </w:r>
      <w:r>
        <w:rPr>
          <w:rFonts w:ascii="Times New Roman" w:hAnsi="Times New Roman" w:eastAsia="仿宋_GB2312"/>
          <w:color w:val="auto"/>
          <w:sz w:val="32"/>
          <w:szCs w:val="32"/>
        </w:rPr>
        <w:t>=[体测成绩（100分）×80%+体育课外锻炼成绩（100分）×20%]×70%</w:t>
      </w:r>
    </w:p>
    <w:p w14:paraId="126C45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其中，体测成绩以</w:t>
      </w:r>
      <w:r>
        <w:rPr>
          <w:rFonts w:hint="eastAsia" w:ascii="Times New Roman" w:hAnsi="Times New Roman" w:eastAsia="仿宋_GB2312"/>
          <w:color w:val="auto"/>
          <w:sz w:val="32"/>
          <w:szCs w:val="32"/>
          <w:lang w:eastAsia="zh-CN"/>
        </w:rPr>
        <w:t>文理学院/文化艺术学院</w:t>
      </w:r>
      <w:r>
        <w:rPr>
          <w:rFonts w:ascii="Times New Roman" w:hAnsi="Times New Roman" w:eastAsia="仿宋_GB2312"/>
          <w:color w:val="auto"/>
          <w:sz w:val="32"/>
          <w:szCs w:val="32"/>
        </w:rPr>
        <w:t>提供的《学生体质健康标准》测试成绩计分</w:t>
      </w:r>
      <w:r>
        <w:rPr>
          <w:rFonts w:hint="eastAsia" w:ascii="Times New Roman" w:hAnsi="Times New Roman" w:eastAsia="仿宋_GB2312"/>
          <w:color w:val="auto"/>
          <w:sz w:val="32"/>
          <w:szCs w:val="32"/>
        </w:rPr>
        <w:t>为准。体育课外锻炼成绩以</w:t>
      </w:r>
      <w:r>
        <w:rPr>
          <w:rFonts w:hint="eastAsia" w:ascii="Times New Roman" w:hAnsi="Times New Roman" w:eastAsia="仿宋_GB2312"/>
          <w:color w:val="auto"/>
          <w:sz w:val="32"/>
          <w:szCs w:val="32"/>
          <w:lang w:eastAsia="zh-CN"/>
        </w:rPr>
        <w:t>文理学院/文化艺术学院</w:t>
      </w:r>
      <w:r>
        <w:rPr>
          <w:rFonts w:ascii="Times New Roman" w:hAnsi="Times New Roman" w:eastAsia="仿宋_GB2312"/>
          <w:color w:val="auto"/>
          <w:sz w:val="32"/>
          <w:szCs w:val="32"/>
        </w:rPr>
        <w:t>提供的学生参加“阳光长跑”认定</w:t>
      </w:r>
      <w:r>
        <w:rPr>
          <w:rFonts w:hint="eastAsia" w:ascii="Times New Roman" w:hAnsi="Times New Roman" w:eastAsia="仿宋_GB2312"/>
          <w:color w:val="auto"/>
          <w:sz w:val="32"/>
          <w:szCs w:val="32"/>
        </w:rPr>
        <w:t>结果为准。学生因病或者残疾经校医院证明并由</w:t>
      </w:r>
      <w:r>
        <w:rPr>
          <w:rFonts w:hint="eastAsia" w:ascii="Times New Roman" w:hAnsi="Times New Roman" w:eastAsia="仿宋_GB2312"/>
          <w:color w:val="auto"/>
          <w:sz w:val="32"/>
          <w:szCs w:val="32"/>
          <w:lang w:eastAsia="zh-CN"/>
        </w:rPr>
        <w:t>文理学院/文化艺术学院</w:t>
      </w:r>
      <w:r>
        <w:rPr>
          <w:rFonts w:ascii="Times New Roman" w:hAnsi="Times New Roman" w:eastAsia="仿宋_GB2312"/>
          <w:color w:val="auto"/>
          <w:sz w:val="32"/>
          <w:szCs w:val="32"/>
        </w:rPr>
        <w:t>核准后，体</w:t>
      </w:r>
      <w:r>
        <w:rPr>
          <w:rFonts w:hint="eastAsia" w:ascii="Times New Roman" w:hAnsi="Times New Roman" w:eastAsia="仿宋_GB2312"/>
          <w:color w:val="auto"/>
          <w:sz w:val="32"/>
          <w:szCs w:val="32"/>
        </w:rPr>
        <w:t>测成绩按及格等级赋分。</w:t>
      </w:r>
    </w:p>
    <w:p w14:paraId="696427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（二）体育加分（</w:t>
      </w:r>
      <w:r>
        <w:rPr>
          <w:rFonts w:ascii="Times New Roman" w:hAnsi="Times New Roman" w:eastAsia="仿宋_GB2312"/>
          <w:color w:val="auto"/>
          <w:sz w:val="32"/>
          <w:szCs w:val="32"/>
        </w:rPr>
        <w:t>30分）</w:t>
      </w:r>
    </w:p>
    <w:p w14:paraId="1B0121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各级各类体育赛事单人或集体项目按下表加分，</w:t>
      </w:r>
      <w:bookmarkStart w:id="4" w:name="OLE_LINK10"/>
      <w:r>
        <w:rPr>
          <w:rFonts w:hint="eastAsia" w:ascii="仿宋" w:hAnsi="仿宋" w:eastAsia="仿宋"/>
          <w:color w:val="auto"/>
          <w:sz w:val="32"/>
          <w:szCs w:val="32"/>
        </w:rPr>
        <w:t>参加趣味项目及非主力队员按</w:t>
      </w:r>
      <w:bookmarkStart w:id="5" w:name="OLE_LINK7"/>
      <w:r>
        <w:rPr>
          <w:rFonts w:ascii="仿宋" w:hAnsi="仿宋" w:eastAsia="仿宋"/>
          <w:color w:val="auto"/>
          <w:sz w:val="32"/>
          <w:szCs w:val="32"/>
        </w:rPr>
        <w:t>2/3折算</w:t>
      </w:r>
      <w:bookmarkEnd w:id="5"/>
      <w:r>
        <w:rPr>
          <w:rFonts w:ascii="仿宋" w:hAnsi="仿宋" w:eastAsia="仿宋"/>
          <w:color w:val="auto"/>
          <w:sz w:val="32"/>
          <w:szCs w:val="32"/>
        </w:rPr>
        <w:t>。每人</w:t>
      </w:r>
      <w:r>
        <w:rPr>
          <w:rFonts w:hint="eastAsia" w:ascii="仿宋" w:hAnsi="仿宋" w:eastAsia="仿宋"/>
          <w:color w:val="auto"/>
          <w:sz w:val="32"/>
          <w:szCs w:val="32"/>
        </w:rPr>
        <w:t>获多个奖项的可累加，但校级赛事加分上限不超过</w:t>
      </w:r>
      <w:r>
        <w:rPr>
          <w:rFonts w:ascii="仿宋" w:hAnsi="仿宋" w:eastAsia="仿宋"/>
          <w:color w:val="auto"/>
          <w:sz w:val="32"/>
          <w:szCs w:val="32"/>
        </w:rPr>
        <w:t>20分</w:t>
      </w:r>
      <w:r>
        <w:rPr>
          <w:rFonts w:hint="eastAsia" w:ascii="仿宋" w:hAnsi="仿宋" w:eastAsia="仿宋"/>
          <w:color w:val="auto"/>
          <w:sz w:val="32"/>
          <w:szCs w:val="32"/>
        </w:rPr>
        <w:t>，院级赛事在校级分值上按1</w:t>
      </w:r>
      <w:r>
        <w:rPr>
          <w:rFonts w:ascii="仿宋" w:hAnsi="仿宋" w:eastAsia="仿宋"/>
          <w:color w:val="auto"/>
          <w:sz w:val="32"/>
          <w:szCs w:val="32"/>
        </w:rPr>
        <w:t>/</w:t>
      </w:r>
      <w:r>
        <w:rPr>
          <w:rFonts w:hint="eastAsia" w:ascii="仿宋" w:hAnsi="仿宋" w:eastAsia="仿宋"/>
          <w:color w:val="auto"/>
          <w:sz w:val="32"/>
          <w:szCs w:val="32"/>
        </w:rPr>
        <w:t>2</w:t>
      </w:r>
      <w:r>
        <w:rPr>
          <w:rFonts w:ascii="仿宋" w:hAnsi="仿宋" w:eastAsia="仿宋"/>
          <w:color w:val="auto"/>
          <w:sz w:val="32"/>
          <w:szCs w:val="32"/>
        </w:rPr>
        <w:t>折算</w:t>
      </w:r>
      <w:bookmarkEnd w:id="4"/>
      <w:r>
        <w:rPr>
          <w:rFonts w:ascii="仿宋" w:hAnsi="仿宋" w:eastAsia="仿宋"/>
          <w:color w:val="auto"/>
          <w:sz w:val="32"/>
          <w:szCs w:val="32"/>
        </w:rPr>
        <w:t>。</w:t>
      </w:r>
    </w:p>
    <w:tbl>
      <w:tblPr>
        <w:tblStyle w:val="4"/>
        <w:tblW w:w="8688" w:type="dxa"/>
        <w:jc w:val="center"/>
        <w:tblLayout w:type="autofit"/>
        <w:tblCellMar>
          <w:top w:w="0" w:type="dxa"/>
          <w:left w:w="108" w:type="dxa"/>
          <w:bottom w:w="0" w:type="dxa"/>
          <w:right w:w="108" w:type="dxa"/>
        </w:tblCellMar>
      </w:tblPr>
      <w:tblGrid>
        <w:gridCol w:w="1071"/>
        <w:gridCol w:w="1593"/>
        <w:gridCol w:w="1593"/>
        <w:gridCol w:w="1549"/>
        <w:gridCol w:w="2100"/>
        <w:gridCol w:w="782"/>
      </w:tblGrid>
      <w:tr w14:paraId="0024DC1D">
        <w:tblPrEx>
          <w:tblCellMar>
            <w:top w:w="0" w:type="dxa"/>
            <w:left w:w="108" w:type="dxa"/>
            <w:bottom w:w="0" w:type="dxa"/>
            <w:right w:w="108" w:type="dxa"/>
          </w:tblCellMar>
        </w:tblPrEx>
        <w:trPr>
          <w:trHeight w:val="409" w:hRule="atLeast"/>
          <w:jc w:val="center"/>
        </w:trPr>
        <w:tc>
          <w:tcPr>
            <w:tcW w:w="1071"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2A3C8D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 xml:space="preserve">  级别</w:t>
            </w:r>
            <w:r>
              <w:rPr>
                <w:rFonts w:hint="eastAsia" w:ascii="仿宋_GB2312" w:hAnsi="Times New Roman" w:eastAsia="仿宋_GB2312" w:cs="Times New Roman"/>
                <w:b/>
                <w:bCs/>
                <w:color w:val="auto"/>
                <w:kern w:val="0"/>
                <w:sz w:val="24"/>
                <w:szCs w:val="24"/>
              </w:rPr>
              <w:br w:type="textWrapping"/>
            </w:r>
            <w:r>
              <w:rPr>
                <w:rFonts w:hint="eastAsia" w:ascii="仿宋_GB2312" w:hAnsi="Times New Roman" w:eastAsia="仿宋_GB2312" w:cs="Times New Roman"/>
                <w:b/>
                <w:bCs/>
                <w:color w:val="auto"/>
                <w:kern w:val="0"/>
                <w:sz w:val="24"/>
                <w:szCs w:val="24"/>
              </w:rPr>
              <w:t>分值</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70A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一、二名/一等奖</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C11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三、四名/二等奖</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B30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五、六名/三等奖</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3D93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七、八名/鼓励奖/优秀奖</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1BE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参与</w:t>
            </w:r>
          </w:p>
        </w:tc>
      </w:tr>
      <w:tr w14:paraId="5AA859DE">
        <w:tblPrEx>
          <w:tblCellMar>
            <w:top w:w="0" w:type="dxa"/>
            <w:left w:w="108" w:type="dxa"/>
            <w:bottom w:w="0" w:type="dxa"/>
            <w:right w:w="108" w:type="dxa"/>
          </w:tblCellMar>
        </w:tblPrEx>
        <w:trPr>
          <w:trHeight w:val="204"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211CE1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国家级</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0830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30</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01C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20</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496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15</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257D43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10</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519EF8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5</w:t>
            </w:r>
          </w:p>
        </w:tc>
      </w:tr>
      <w:tr w14:paraId="2D3A874E">
        <w:tblPrEx>
          <w:tblCellMar>
            <w:top w:w="0" w:type="dxa"/>
            <w:left w:w="108" w:type="dxa"/>
            <w:bottom w:w="0" w:type="dxa"/>
            <w:right w:w="108" w:type="dxa"/>
          </w:tblCellMar>
        </w:tblPrEx>
        <w:trPr>
          <w:trHeight w:val="204"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078C86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省部级</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14:paraId="351CF2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20</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83A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4F9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10</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60AEEF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5</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23819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3</w:t>
            </w:r>
          </w:p>
        </w:tc>
      </w:tr>
      <w:tr w14:paraId="263A3DB2">
        <w:tblPrEx>
          <w:tblCellMar>
            <w:top w:w="0" w:type="dxa"/>
            <w:left w:w="108" w:type="dxa"/>
            <w:bottom w:w="0" w:type="dxa"/>
            <w:right w:w="108" w:type="dxa"/>
          </w:tblCellMar>
        </w:tblPrEx>
        <w:trPr>
          <w:trHeight w:val="204"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9657F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校级</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14:paraId="05E575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8</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803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603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4</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6E586F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51B19F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w:t>
            </w:r>
          </w:p>
        </w:tc>
      </w:tr>
    </w:tbl>
    <w:p w14:paraId="4117199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注：体育加分比赛中，</w:t>
      </w:r>
      <w:r>
        <w:rPr>
          <w:rFonts w:hint="eastAsia" w:ascii="仿宋_GB2312" w:hAnsi="Times New Roman" w:eastAsia="仿宋_GB2312" w:cs="Times New Roman"/>
          <w:color w:val="auto"/>
          <w:kern w:val="0"/>
          <w:sz w:val="24"/>
          <w:szCs w:val="24"/>
          <w:lang w:val="en-US" w:eastAsia="zh-CN"/>
        </w:rPr>
        <w:t>至多只能</w:t>
      </w:r>
      <w:r>
        <w:rPr>
          <w:rFonts w:hint="eastAsia" w:ascii="仿宋_GB2312" w:hAnsi="Times New Roman" w:eastAsia="仿宋_GB2312" w:cs="Times New Roman"/>
          <w:color w:val="auto"/>
          <w:kern w:val="0"/>
          <w:sz w:val="24"/>
          <w:szCs w:val="24"/>
        </w:rPr>
        <w:t>有一项球类运动。</w:t>
      </w:r>
    </w:p>
    <w:p w14:paraId="7A3AECAA">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六、美育测评</w:t>
      </w:r>
    </w:p>
    <w:p w14:paraId="41963D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bookmarkStart w:id="6" w:name="OLE_LINK5"/>
      <w:r>
        <w:rPr>
          <w:rFonts w:hint="eastAsia" w:ascii="Times New Roman" w:hAnsi="Times New Roman" w:eastAsia="仿宋_GB2312"/>
          <w:color w:val="auto"/>
          <w:sz w:val="32"/>
          <w:szCs w:val="32"/>
        </w:rPr>
        <w:t>美育</w:t>
      </w:r>
      <w:bookmarkEnd w:id="6"/>
      <w:r>
        <w:rPr>
          <w:rFonts w:hint="eastAsia" w:ascii="Times New Roman" w:hAnsi="Times New Roman" w:eastAsia="仿宋_GB2312"/>
          <w:color w:val="auto"/>
          <w:sz w:val="32"/>
          <w:szCs w:val="32"/>
        </w:rPr>
        <w:t>成绩（</w:t>
      </w:r>
      <w:r>
        <w:rPr>
          <w:rFonts w:ascii="Times New Roman" w:hAnsi="Times New Roman" w:eastAsia="仿宋_GB2312"/>
          <w:color w:val="auto"/>
          <w:sz w:val="32"/>
          <w:szCs w:val="32"/>
        </w:rPr>
        <w:t>100分）=文化艺术活动（70分）+美育加分（30分）。</w:t>
      </w:r>
    </w:p>
    <w:p w14:paraId="4BF95F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（一）美育基础分：文化艺术活动（</w:t>
      </w:r>
      <w:r>
        <w:rPr>
          <w:rFonts w:ascii="Times New Roman" w:hAnsi="Times New Roman" w:eastAsia="仿宋_GB2312"/>
          <w:color w:val="auto"/>
          <w:sz w:val="32"/>
          <w:szCs w:val="32"/>
        </w:rPr>
        <w:t>70分）</w:t>
      </w:r>
    </w:p>
    <w:p w14:paraId="27532A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1.参加各级文艺演出，国家级、省部级、地市级、校级、院级每场分别计</w:t>
      </w:r>
      <w:r>
        <w:rPr>
          <w:rFonts w:ascii="Times New Roman" w:hAnsi="Times New Roman" w:eastAsia="仿宋_GB2312"/>
          <w:color w:val="auto"/>
          <w:sz w:val="32"/>
          <w:szCs w:val="32"/>
        </w:rPr>
        <w:t>50分、30分、20分、10分、5分。</w:t>
      </w:r>
    </w:p>
    <w:p w14:paraId="3C8ECC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.参加文化艺术类主题讲座及报告、人文艺术类文化活动，</w:t>
      </w:r>
      <w:r>
        <w:rPr>
          <w:rFonts w:hint="eastAsia" w:ascii="Times New Roman" w:hAnsi="Times New Roman" w:eastAsia="仿宋_GB2312"/>
          <w:color w:val="auto"/>
          <w:sz w:val="32"/>
          <w:szCs w:val="32"/>
        </w:rPr>
        <w:t>限</w:t>
      </w:r>
      <w:r>
        <w:rPr>
          <w:rFonts w:ascii="Times New Roman" w:hAnsi="Times New Roman" w:eastAsia="仿宋_GB2312"/>
          <w:color w:val="auto"/>
          <w:sz w:val="32"/>
          <w:szCs w:val="32"/>
        </w:rPr>
        <w:t>5次</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每次计5分。</w:t>
      </w:r>
    </w:p>
    <w:p w14:paraId="4D37A4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.参观艺术馆、美术馆、博物馆等，</w:t>
      </w:r>
      <w:r>
        <w:rPr>
          <w:rFonts w:hint="eastAsia" w:ascii="Times New Roman" w:hAnsi="Times New Roman" w:eastAsia="仿宋_GB2312"/>
          <w:color w:val="auto"/>
          <w:sz w:val="32"/>
          <w:szCs w:val="32"/>
        </w:rPr>
        <w:t>限</w:t>
      </w:r>
      <w:r>
        <w:rPr>
          <w:rFonts w:ascii="Times New Roman" w:hAnsi="Times New Roman" w:eastAsia="仿宋_GB2312"/>
          <w:color w:val="auto"/>
          <w:sz w:val="32"/>
          <w:szCs w:val="32"/>
        </w:rPr>
        <w:t>5次</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每次计3分。</w:t>
      </w:r>
    </w:p>
    <w:p w14:paraId="1262D7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.文化艺术活动以第二课堂管理平台记录为准，未纳入第二课堂管理平台的，</w:t>
      </w:r>
      <w:r>
        <w:rPr>
          <w:rFonts w:hint="eastAsia" w:ascii="Times New Roman" w:hAnsi="Times New Roman" w:eastAsia="仿宋_GB2312"/>
          <w:color w:val="auto"/>
          <w:sz w:val="32"/>
          <w:szCs w:val="32"/>
        </w:rPr>
        <w:t>需由学院认定后予以计分。</w:t>
      </w:r>
    </w:p>
    <w:p w14:paraId="414C96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（二）美育加分（</w:t>
      </w:r>
      <w:r>
        <w:rPr>
          <w:rFonts w:ascii="Times New Roman" w:hAnsi="Times New Roman" w:eastAsia="仿宋_GB2312"/>
          <w:color w:val="auto"/>
          <w:sz w:val="32"/>
          <w:szCs w:val="32"/>
        </w:rPr>
        <w:t>30分）</w:t>
      </w:r>
    </w:p>
    <w:p w14:paraId="7ACE83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.文化艺术比赛</w:t>
      </w:r>
      <w:r>
        <w:rPr>
          <w:rFonts w:hint="eastAsia" w:ascii="Times New Roman" w:hAnsi="Times New Roman" w:eastAsia="仿宋_GB2312"/>
          <w:color w:val="auto"/>
          <w:sz w:val="32"/>
          <w:szCs w:val="32"/>
        </w:rPr>
        <w:t>：主要包括校内外组织的歌曲、舞蹈、书法、音乐及绘画等比赛活动。各级各类文化艺术赛事单人或集体项目按下表加分。</w:t>
      </w:r>
    </w:p>
    <w:tbl>
      <w:tblPr>
        <w:tblStyle w:val="4"/>
        <w:tblW w:w="8437" w:type="dxa"/>
        <w:jc w:val="center"/>
        <w:tblLayout w:type="autofit"/>
        <w:tblCellMar>
          <w:top w:w="0" w:type="dxa"/>
          <w:left w:w="108" w:type="dxa"/>
          <w:bottom w:w="0" w:type="dxa"/>
          <w:right w:w="108" w:type="dxa"/>
        </w:tblCellMar>
      </w:tblPr>
      <w:tblGrid>
        <w:gridCol w:w="1143"/>
        <w:gridCol w:w="1700"/>
        <w:gridCol w:w="1700"/>
        <w:gridCol w:w="1653"/>
        <w:gridCol w:w="2241"/>
      </w:tblGrid>
      <w:tr w14:paraId="7967DB60">
        <w:tblPrEx>
          <w:tblCellMar>
            <w:top w:w="0" w:type="dxa"/>
            <w:left w:w="108" w:type="dxa"/>
            <w:bottom w:w="0" w:type="dxa"/>
            <w:right w:w="108" w:type="dxa"/>
          </w:tblCellMar>
        </w:tblPrEx>
        <w:trPr>
          <w:trHeight w:val="455" w:hRule="atLeast"/>
          <w:jc w:val="center"/>
        </w:trPr>
        <w:tc>
          <w:tcPr>
            <w:tcW w:w="1143"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572484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 xml:space="preserve">  级别</w:t>
            </w:r>
            <w:r>
              <w:rPr>
                <w:rFonts w:hint="eastAsia" w:ascii="Times New Roman" w:hAnsi="Times New Roman" w:eastAsia="仿宋_GB2312" w:cs="Times New Roman"/>
                <w:b/>
                <w:bCs/>
                <w:color w:val="auto"/>
                <w:kern w:val="0"/>
                <w:sz w:val="24"/>
                <w:szCs w:val="24"/>
              </w:rPr>
              <w:br w:type="textWrapping"/>
            </w:r>
            <w:r>
              <w:rPr>
                <w:rFonts w:hint="eastAsia" w:ascii="Times New Roman" w:hAnsi="Times New Roman" w:eastAsia="仿宋_GB2312" w:cs="Times New Roman"/>
                <w:b/>
                <w:bCs/>
                <w:color w:val="auto"/>
                <w:kern w:val="0"/>
                <w:sz w:val="24"/>
                <w:szCs w:val="24"/>
              </w:rPr>
              <w:t>分值</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1092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一等奖</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8EF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二等奖</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7C5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三等奖</w:t>
            </w:r>
          </w:p>
        </w:tc>
        <w:tc>
          <w:tcPr>
            <w:tcW w:w="2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7AB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color w:val="auto"/>
                <w:kern w:val="0"/>
                <w:sz w:val="24"/>
                <w:szCs w:val="24"/>
              </w:rPr>
            </w:pPr>
            <w:r>
              <w:rPr>
                <w:rFonts w:hint="eastAsia" w:ascii="Times New Roman" w:hAnsi="Times New Roman" w:eastAsia="仿宋_GB2312" w:cs="Times New Roman"/>
                <w:b/>
                <w:bCs/>
                <w:color w:val="auto"/>
                <w:kern w:val="0"/>
                <w:sz w:val="24"/>
                <w:szCs w:val="24"/>
              </w:rPr>
              <w:t>鼓励奖/优秀奖</w:t>
            </w:r>
          </w:p>
        </w:tc>
      </w:tr>
      <w:tr w14:paraId="34F470C5">
        <w:tblPrEx>
          <w:tblCellMar>
            <w:top w:w="0" w:type="dxa"/>
            <w:left w:w="108" w:type="dxa"/>
            <w:bottom w:w="0" w:type="dxa"/>
            <w:right w:w="108" w:type="dxa"/>
          </w:tblCellMar>
        </w:tblPrEx>
        <w:trPr>
          <w:trHeight w:val="227" w:hRule="atLeast"/>
          <w:jc w:val="center"/>
        </w:trPr>
        <w:tc>
          <w:tcPr>
            <w:tcW w:w="11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57D9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国家级</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A25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30</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4C2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79C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20</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14:paraId="0EFDAD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15</w:t>
            </w:r>
          </w:p>
        </w:tc>
      </w:tr>
      <w:tr w14:paraId="0967820C">
        <w:tblPrEx>
          <w:tblCellMar>
            <w:top w:w="0" w:type="dxa"/>
            <w:left w:w="108" w:type="dxa"/>
            <w:bottom w:w="0" w:type="dxa"/>
            <w:right w:w="108" w:type="dxa"/>
          </w:tblCellMar>
        </w:tblPrEx>
        <w:trPr>
          <w:trHeight w:val="227"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14:paraId="2096F4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5A2C09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20</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284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0FF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10</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14:paraId="11ABDD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5</w:t>
            </w:r>
          </w:p>
        </w:tc>
      </w:tr>
      <w:tr w14:paraId="044EAB53">
        <w:tblPrEx>
          <w:tblCellMar>
            <w:top w:w="0" w:type="dxa"/>
            <w:left w:w="108" w:type="dxa"/>
            <w:bottom w:w="0" w:type="dxa"/>
            <w:right w:w="108" w:type="dxa"/>
          </w:tblCellMar>
        </w:tblPrEx>
        <w:trPr>
          <w:trHeight w:val="227"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14:paraId="62F4B1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14:paraId="6050C6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10</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C5D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7E6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14:paraId="44296D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w:t>
            </w:r>
          </w:p>
        </w:tc>
      </w:tr>
      <w:tr w14:paraId="1B7C51B3">
        <w:tblPrEx>
          <w:tblCellMar>
            <w:top w:w="0" w:type="dxa"/>
            <w:left w:w="108" w:type="dxa"/>
            <w:bottom w:w="0" w:type="dxa"/>
            <w:right w:w="108" w:type="dxa"/>
          </w:tblCellMar>
        </w:tblPrEx>
        <w:trPr>
          <w:trHeight w:val="227" w:hRule="atLeast"/>
          <w:jc w:val="center"/>
        </w:trPr>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F3D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院级</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FD5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6</w:t>
            </w:r>
          </w:p>
        </w:tc>
        <w:tc>
          <w:tcPr>
            <w:tcW w:w="1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85C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012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w:t>
            </w:r>
          </w:p>
        </w:tc>
        <w:tc>
          <w:tcPr>
            <w:tcW w:w="22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CBF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p>
        </w:tc>
      </w:tr>
    </w:tbl>
    <w:p w14:paraId="45EF2B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.文化艺术作品</w:t>
      </w:r>
      <w:r>
        <w:rPr>
          <w:rFonts w:hint="eastAsia" w:ascii="Times New Roman" w:hAnsi="Times New Roman" w:eastAsia="仿宋_GB2312"/>
          <w:color w:val="auto"/>
          <w:sz w:val="32"/>
          <w:szCs w:val="32"/>
        </w:rPr>
        <w:t>：作品主要包括文学、绘画、书法、音乐、摄影等。发表的平台包括公开出版发行的国家级、省部级、地市级和校级纸质媒体，国家级、省部级、地市级和校级的官方主流媒体网站（或相当于）。国家级、省部级、地市级和校级每项作品，分别计入</w:t>
      </w:r>
      <w:r>
        <w:rPr>
          <w:rFonts w:ascii="Times New Roman" w:hAnsi="Times New Roman" w:eastAsia="仿宋_GB2312"/>
          <w:color w:val="auto"/>
          <w:sz w:val="32"/>
          <w:szCs w:val="32"/>
        </w:rPr>
        <w:t>10分、8分、6分、4分。</w:t>
      </w:r>
    </w:p>
    <w:p w14:paraId="695EE7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.同一比赛仅取最高奖励级别加分，各项加分可累加，但校级及以下赛事和文</w:t>
      </w:r>
      <w:r>
        <w:rPr>
          <w:rFonts w:hint="eastAsia" w:ascii="Times New Roman" w:hAnsi="Times New Roman" w:eastAsia="仿宋_GB2312"/>
          <w:color w:val="auto"/>
          <w:sz w:val="32"/>
          <w:szCs w:val="32"/>
        </w:rPr>
        <w:t>化艺术作品加分上限不超过</w:t>
      </w:r>
      <w:r>
        <w:rPr>
          <w:rFonts w:ascii="Times New Roman" w:hAnsi="Times New Roman" w:eastAsia="仿宋_GB2312"/>
          <w:color w:val="auto"/>
          <w:sz w:val="32"/>
          <w:szCs w:val="32"/>
        </w:rPr>
        <w:t>20分。</w:t>
      </w:r>
    </w:p>
    <w:p w14:paraId="30E67570">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七、劳育测评</w:t>
      </w:r>
    </w:p>
    <w:p w14:paraId="14340E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bookmarkStart w:id="7" w:name="OLE_LINK9"/>
      <w:r>
        <w:rPr>
          <w:rFonts w:hint="eastAsia" w:ascii="Times New Roman" w:hAnsi="Times New Roman" w:eastAsia="仿宋_GB2312"/>
          <w:color w:val="auto"/>
          <w:sz w:val="32"/>
          <w:szCs w:val="32"/>
        </w:rPr>
        <w:t>劳育</w:t>
      </w:r>
      <w:bookmarkEnd w:id="7"/>
      <w:r>
        <w:rPr>
          <w:rFonts w:hint="eastAsia" w:ascii="Times New Roman" w:hAnsi="Times New Roman" w:eastAsia="仿宋_GB2312"/>
          <w:color w:val="auto"/>
          <w:sz w:val="32"/>
          <w:szCs w:val="32"/>
        </w:rPr>
        <w:t>成绩（</w:t>
      </w:r>
      <w:r>
        <w:rPr>
          <w:rFonts w:ascii="Times New Roman" w:hAnsi="Times New Roman" w:eastAsia="仿宋_GB2312"/>
          <w:color w:val="auto"/>
          <w:sz w:val="32"/>
          <w:szCs w:val="32"/>
        </w:rPr>
        <w:t>100分）=</w:t>
      </w:r>
      <w:bookmarkStart w:id="8" w:name="OLE_LINK8"/>
      <w:r>
        <w:rPr>
          <w:rFonts w:ascii="Times New Roman" w:hAnsi="Times New Roman" w:eastAsia="仿宋_GB2312"/>
          <w:color w:val="auto"/>
          <w:sz w:val="32"/>
          <w:szCs w:val="32"/>
        </w:rPr>
        <w:t>劳动实践</w:t>
      </w:r>
      <w:bookmarkEnd w:id="8"/>
      <w:r>
        <w:rPr>
          <w:rFonts w:ascii="Times New Roman" w:hAnsi="Times New Roman" w:eastAsia="仿宋_GB2312"/>
          <w:color w:val="auto"/>
          <w:sz w:val="32"/>
          <w:szCs w:val="32"/>
        </w:rPr>
        <w:t>（70分）+劳育加分（30分）。</w:t>
      </w:r>
    </w:p>
    <w:p w14:paraId="347AB3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（一）劳育基础分：劳动实践（</w:t>
      </w:r>
      <w:r>
        <w:rPr>
          <w:rFonts w:ascii="Times New Roman" w:hAnsi="Times New Roman" w:eastAsia="仿宋_GB2312"/>
          <w:color w:val="auto"/>
          <w:sz w:val="32"/>
          <w:szCs w:val="32"/>
        </w:rPr>
        <w:t>70分）</w:t>
      </w:r>
    </w:p>
    <w:p w14:paraId="6FB7C6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1.</w:t>
      </w:r>
      <w:bookmarkStart w:id="9" w:name="OLE_LINK11"/>
      <w:r>
        <w:rPr>
          <w:rFonts w:hint="eastAsia" w:ascii="Times New Roman" w:hAnsi="Times New Roman" w:eastAsia="仿宋_GB2312"/>
          <w:color w:val="auto"/>
          <w:sz w:val="32"/>
          <w:szCs w:val="32"/>
        </w:rPr>
        <w:t>维护宿舍卫生，积极参加宿舍卫生清扫（</w:t>
      </w:r>
      <w:r>
        <w:rPr>
          <w:rFonts w:ascii="Times New Roman" w:hAnsi="Times New Roman" w:eastAsia="仿宋_GB2312"/>
          <w:color w:val="auto"/>
          <w:sz w:val="32"/>
          <w:szCs w:val="32"/>
        </w:rPr>
        <w:t>10分）。在校院两级宿舍卫生检查中，</w:t>
      </w:r>
      <w:r>
        <w:rPr>
          <w:rFonts w:hint="eastAsia" w:ascii="Times New Roman" w:hAnsi="Times New Roman" w:eastAsia="仿宋_GB2312"/>
          <w:color w:val="auto"/>
          <w:sz w:val="32"/>
          <w:szCs w:val="32"/>
        </w:rPr>
        <w:t>不合格一次扣</w:t>
      </w:r>
      <w:r>
        <w:rPr>
          <w:rFonts w:ascii="Times New Roman" w:hAnsi="Times New Roman" w:eastAsia="仿宋_GB2312"/>
          <w:color w:val="auto"/>
          <w:sz w:val="32"/>
          <w:szCs w:val="32"/>
        </w:rPr>
        <w:t>2分</w:t>
      </w:r>
      <w:bookmarkEnd w:id="9"/>
      <w:r>
        <w:rPr>
          <w:rFonts w:ascii="Times New Roman" w:hAnsi="Times New Roman" w:eastAsia="仿宋_GB2312"/>
          <w:color w:val="auto"/>
          <w:sz w:val="32"/>
          <w:szCs w:val="32"/>
        </w:rPr>
        <w:t>。</w:t>
      </w:r>
    </w:p>
    <w:p w14:paraId="7014F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bookmarkStart w:id="10" w:name="OLE_LINK12"/>
      <w:r>
        <w:rPr>
          <w:rFonts w:ascii="Times New Roman" w:hAnsi="Times New Roman" w:eastAsia="仿宋_GB2312"/>
          <w:color w:val="auto"/>
          <w:sz w:val="32"/>
          <w:szCs w:val="32"/>
        </w:rPr>
        <w:t>积极参加学校、学院、班级等组织的各类校园劳动实践活动，包括校园卫生、</w:t>
      </w:r>
      <w:r>
        <w:rPr>
          <w:rFonts w:hint="eastAsia" w:ascii="Times New Roman" w:hAnsi="Times New Roman" w:eastAsia="仿宋_GB2312"/>
          <w:color w:val="auto"/>
          <w:sz w:val="32"/>
          <w:szCs w:val="32"/>
        </w:rPr>
        <w:t>垃圾分类、教室清洁、实验室维护、食堂劳动、勤工助学（劳动类）等并开具相关证明，每学年劳动时长达到</w:t>
      </w:r>
      <w:r>
        <w:rPr>
          <w:rFonts w:ascii="Times New Roman" w:hAnsi="Times New Roman" w:eastAsia="仿宋_GB2312"/>
          <w:color w:val="auto"/>
          <w:sz w:val="32"/>
          <w:szCs w:val="32"/>
        </w:rPr>
        <w:t>20小时者计20分，低于20小时者折算计分</w:t>
      </w:r>
      <w:r>
        <w:rPr>
          <w:rFonts w:hint="eastAsia" w:ascii="Times New Roman" w:hAnsi="Times New Roman" w:eastAsia="仿宋_GB2312"/>
          <w:color w:val="auto"/>
          <w:sz w:val="32"/>
          <w:szCs w:val="32"/>
        </w:rPr>
        <w:t>，最高分2</w:t>
      </w:r>
      <w:r>
        <w:rPr>
          <w:rFonts w:ascii="Times New Roman" w:hAnsi="Times New Roman" w:eastAsia="仿宋_GB2312"/>
          <w:color w:val="auto"/>
          <w:sz w:val="32"/>
          <w:szCs w:val="32"/>
        </w:rPr>
        <w:t>0分，高于</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0个小时，一律按照</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0个小时计分。</w:t>
      </w:r>
      <w:bookmarkEnd w:id="10"/>
    </w:p>
    <w:p w14:paraId="4152EC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bookmarkStart w:id="11" w:name="OLE_LINK13"/>
      <w:r>
        <w:rPr>
          <w:rFonts w:ascii="Times New Roman" w:hAnsi="Times New Roman" w:eastAsia="仿宋_GB2312"/>
          <w:color w:val="auto"/>
          <w:sz w:val="32"/>
          <w:szCs w:val="32"/>
        </w:rPr>
        <w:t>积极参加学校、学院、班级等组织开展的劳动实践类专题讲座或报告（10分），</w:t>
      </w:r>
      <w:r>
        <w:rPr>
          <w:rFonts w:hint="eastAsia" w:ascii="Times New Roman" w:hAnsi="Times New Roman" w:eastAsia="仿宋_GB2312"/>
          <w:color w:val="auto"/>
          <w:sz w:val="32"/>
          <w:szCs w:val="32"/>
        </w:rPr>
        <w:t>每学年达到</w:t>
      </w:r>
      <w:r>
        <w:rPr>
          <w:rFonts w:ascii="Times New Roman" w:hAnsi="Times New Roman" w:eastAsia="仿宋_GB2312"/>
          <w:color w:val="auto"/>
          <w:sz w:val="32"/>
          <w:szCs w:val="32"/>
        </w:rPr>
        <w:t>4次者计10分，低于4次者折算计分，以第二课堂管理平台记录为准</w:t>
      </w:r>
      <w:bookmarkEnd w:id="11"/>
      <w:r>
        <w:rPr>
          <w:rFonts w:ascii="Times New Roman" w:hAnsi="Times New Roman" w:eastAsia="仿宋_GB2312"/>
          <w:color w:val="auto"/>
          <w:sz w:val="32"/>
          <w:szCs w:val="32"/>
        </w:rPr>
        <w:t>。</w:t>
      </w:r>
    </w:p>
    <w:p w14:paraId="52CC9C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.践行“奉献、友爱、互助、进步”的青年志愿者精神，积极参加学校、学院、</w:t>
      </w:r>
      <w:r>
        <w:rPr>
          <w:rFonts w:hint="eastAsia" w:ascii="Times New Roman" w:hAnsi="Times New Roman" w:eastAsia="仿宋_GB2312"/>
          <w:color w:val="auto"/>
          <w:sz w:val="32"/>
          <w:szCs w:val="32"/>
        </w:rPr>
        <w:t>班级等组织的各类志愿服务活动，每</w:t>
      </w:r>
      <w:r>
        <w:rPr>
          <w:rFonts w:ascii="Times New Roman" w:hAnsi="Times New Roman" w:eastAsia="仿宋_GB2312"/>
          <w:color w:val="auto"/>
          <w:sz w:val="32"/>
          <w:szCs w:val="32"/>
        </w:rPr>
        <w:t>学年志愿服务时长达到20小时者计20分，低</w:t>
      </w:r>
      <w:r>
        <w:rPr>
          <w:rFonts w:hint="eastAsia" w:ascii="Times New Roman" w:hAnsi="Times New Roman" w:eastAsia="仿宋_GB2312"/>
          <w:color w:val="auto"/>
          <w:sz w:val="32"/>
          <w:szCs w:val="32"/>
        </w:rPr>
        <w:t>于</w:t>
      </w:r>
      <w:r>
        <w:rPr>
          <w:rFonts w:ascii="Times New Roman" w:hAnsi="Times New Roman" w:eastAsia="仿宋_GB2312"/>
          <w:color w:val="auto"/>
          <w:sz w:val="32"/>
          <w:szCs w:val="32"/>
        </w:rPr>
        <w:t>20小时者</w:t>
      </w:r>
      <w:r>
        <w:rPr>
          <w:rFonts w:hint="eastAsia" w:ascii="Times New Roman" w:hAnsi="Times New Roman" w:eastAsia="仿宋_GB2312"/>
          <w:color w:val="auto"/>
          <w:sz w:val="32"/>
          <w:szCs w:val="32"/>
          <w:lang w:val="en-US" w:eastAsia="zh-CN"/>
        </w:rPr>
        <w:t>每小时计1分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达到30小时计30分，40小时及以上计40分</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志愿者服务时间由学院青年志愿者协会负责统计。志愿者荣誉称号不加分。</w:t>
      </w:r>
    </w:p>
    <w:p w14:paraId="22B7C8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w:t>
      </w:r>
      <w:bookmarkStart w:id="12" w:name="OLE_LINK14"/>
      <w:r>
        <w:rPr>
          <w:rFonts w:ascii="Times New Roman" w:hAnsi="Times New Roman" w:eastAsia="仿宋_GB2312"/>
          <w:color w:val="auto"/>
          <w:sz w:val="32"/>
          <w:szCs w:val="32"/>
        </w:rPr>
        <w:t>按照学校要求，在校外积极开展社会实践活动，完成当学年社会实践任务的</w:t>
      </w:r>
      <w:r>
        <w:rPr>
          <w:rFonts w:hint="eastAsia" w:ascii="Times New Roman" w:hAnsi="Times New Roman" w:eastAsia="仿宋_GB2312"/>
          <w:color w:val="auto"/>
          <w:sz w:val="32"/>
          <w:szCs w:val="32"/>
        </w:rPr>
        <w:t>计</w:t>
      </w:r>
      <w:r>
        <w:rPr>
          <w:rFonts w:ascii="Times New Roman" w:hAnsi="Times New Roman" w:eastAsia="仿宋_GB2312"/>
          <w:color w:val="auto"/>
          <w:sz w:val="32"/>
          <w:szCs w:val="32"/>
        </w:rPr>
        <w:t>10分，未完成社会实践任务者不计分。</w:t>
      </w:r>
      <w:bookmarkEnd w:id="12"/>
    </w:p>
    <w:p w14:paraId="4B7B94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（二）劳育加分（</w:t>
      </w:r>
      <w:r>
        <w:rPr>
          <w:rFonts w:ascii="Times New Roman" w:hAnsi="Times New Roman" w:eastAsia="仿宋_GB2312"/>
          <w:color w:val="auto"/>
          <w:sz w:val="32"/>
          <w:szCs w:val="32"/>
        </w:rPr>
        <w:t>30分）</w:t>
      </w:r>
    </w:p>
    <w:p w14:paraId="28EE07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.个人在志愿服务、劳动实践等活动中获评国家级、省部级、地市级、校级、院</w:t>
      </w:r>
      <w:r>
        <w:rPr>
          <w:rFonts w:hint="eastAsia" w:ascii="Times New Roman" w:hAnsi="Times New Roman" w:eastAsia="仿宋_GB2312"/>
          <w:color w:val="auto"/>
          <w:sz w:val="32"/>
          <w:szCs w:val="32"/>
        </w:rPr>
        <w:t>级荣誉的，分别计入</w:t>
      </w:r>
      <w:r>
        <w:rPr>
          <w:rFonts w:ascii="Times New Roman" w:hAnsi="Times New Roman" w:eastAsia="仿宋_GB2312"/>
          <w:color w:val="auto"/>
          <w:sz w:val="32"/>
          <w:szCs w:val="32"/>
        </w:rPr>
        <w:t>10分、8分、6分、4分、2分。同一项目或活动仅取最高</w:t>
      </w:r>
      <w:r>
        <w:rPr>
          <w:rFonts w:hint="eastAsia" w:ascii="Times New Roman" w:hAnsi="Times New Roman" w:eastAsia="仿宋_GB2312"/>
          <w:color w:val="auto"/>
          <w:sz w:val="32"/>
          <w:szCs w:val="32"/>
        </w:rPr>
        <w:t>奖励级别加分，获得多项荣誉的，可累加。</w:t>
      </w:r>
    </w:p>
    <w:p w14:paraId="5C021C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.努力提高社会实践能力，在社会实践活动中个人获得国家级、省部级、地市</w:t>
      </w:r>
      <w:r>
        <w:rPr>
          <w:rFonts w:hint="eastAsia" w:ascii="Times New Roman" w:hAnsi="Times New Roman" w:eastAsia="仿宋_GB2312"/>
          <w:color w:val="auto"/>
          <w:sz w:val="32"/>
          <w:szCs w:val="32"/>
        </w:rPr>
        <w:t>级、校级、院级荣誉的，分别计</w:t>
      </w:r>
      <w:r>
        <w:rPr>
          <w:rFonts w:ascii="Times New Roman" w:hAnsi="Times New Roman" w:eastAsia="仿宋_GB2312"/>
          <w:color w:val="auto"/>
          <w:sz w:val="32"/>
          <w:szCs w:val="32"/>
        </w:rPr>
        <w:t>10分、8分、6分、4分、2分，集体获奖团队每人</w:t>
      </w:r>
      <w:r>
        <w:rPr>
          <w:rFonts w:hint="eastAsia" w:ascii="Times New Roman" w:hAnsi="Times New Roman" w:eastAsia="仿宋_GB2312"/>
          <w:color w:val="auto"/>
          <w:sz w:val="32"/>
          <w:szCs w:val="32"/>
        </w:rPr>
        <w:t>计入相应分数。同一项目或活动仅取最高奖励级别加分，获得多项荣誉的，可累加。</w:t>
      </w:r>
    </w:p>
    <w:p w14:paraId="6191AE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.积极参加培养方案以外的企业、专业实训基地、实习基地等各类实习，</w:t>
      </w:r>
      <w:r>
        <w:rPr>
          <w:rFonts w:hint="eastAsia" w:ascii="Times New Roman" w:hAnsi="Times New Roman" w:eastAsia="仿宋_GB2312"/>
          <w:color w:val="auto"/>
          <w:sz w:val="32"/>
          <w:szCs w:val="32"/>
          <w:lang w:val="en-US" w:eastAsia="zh-CN"/>
        </w:rPr>
        <w:t>实习时间在七天及以上并提供单位证明，</w:t>
      </w:r>
      <w:r>
        <w:rPr>
          <w:rFonts w:ascii="Times New Roman" w:hAnsi="Times New Roman" w:eastAsia="仿宋_GB2312"/>
          <w:color w:val="auto"/>
          <w:sz w:val="32"/>
          <w:szCs w:val="32"/>
        </w:rPr>
        <w:t>经学</w:t>
      </w:r>
      <w:r>
        <w:rPr>
          <w:rFonts w:hint="eastAsia" w:ascii="Times New Roman" w:hAnsi="Times New Roman" w:eastAsia="仿宋_GB2312"/>
          <w:color w:val="auto"/>
          <w:sz w:val="32"/>
          <w:szCs w:val="32"/>
        </w:rPr>
        <w:t>院认定，可加</w:t>
      </w:r>
      <w:r>
        <w:rPr>
          <w:rFonts w:ascii="Times New Roman" w:hAnsi="Times New Roman" w:eastAsia="仿宋_GB2312"/>
          <w:color w:val="auto"/>
          <w:sz w:val="32"/>
          <w:szCs w:val="32"/>
        </w:rPr>
        <w:t>1-5分。</w:t>
      </w:r>
    </w:p>
    <w:p w14:paraId="3C34D791">
      <w:pPr>
        <w:keepNext w:val="0"/>
        <w:keepLines w:val="0"/>
        <w:pageBreakBefore w:val="0"/>
        <w:kinsoku/>
        <w:wordWrap/>
        <w:overflowPunct/>
        <w:topLinePunct w:val="0"/>
        <w:autoSpaceDE/>
        <w:autoSpaceDN/>
        <w:bidi w:val="0"/>
        <w:adjustRightInd/>
        <w:snapToGrid/>
        <w:spacing w:line="560" w:lineRule="exact"/>
        <w:jc w:val="center"/>
        <w:textAlignment w:val="auto"/>
        <w:rPr>
          <w:color w:val="auto"/>
        </w:rPr>
      </w:pPr>
      <w:r>
        <w:rPr>
          <w:rFonts w:hint="eastAsia" w:ascii="黑体" w:hAnsi="黑体" w:eastAsia="黑体"/>
          <w:color w:val="auto"/>
          <w:sz w:val="32"/>
          <w:szCs w:val="32"/>
        </w:rPr>
        <w:t>八、</w:t>
      </w:r>
      <w:r>
        <w:rPr>
          <w:rFonts w:ascii="黑体" w:hAnsi="黑体" w:eastAsia="黑体"/>
          <w:color w:val="auto"/>
          <w:sz w:val="32"/>
          <w:szCs w:val="32"/>
        </w:rPr>
        <w:t>附则</w:t>
      </w:r>
    </w:p>
    <w:p w14:paraId="065055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第</w:t>
      </w: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条 本办法执行过程中，如有个别项目认定或加分等调整，由</w:t>
      </w:r>
      <w:r>
        <w:rPr>
          <w:rFonts w:hint="eastAsia" w:ascii="Times New Roman" w:hAnsi="Times New Roman" w:eastAsia="仿宋_GB2312"/>
          <w:color w:val="auto"/>
          <w:sz w:val="32"/>
          <w:szCs w:val="32"/>
          <w:lang w:val="en-US" w:eastAsia="zh-CN"/>
        </w:rPr>
        <w:t>文理学院/文化艺术学院</w:t>
      </w:r>
      <w:r>
        <w:rPr>
          <w:rFonts w:hint="eastAsia" w:ascii="Times New Roman" w:hAnsi="Times New Roman" w:eastAsia="仿宋_GB2312"/>
          <w:color w:val="auto"/>
          <w:sz w:val="32"/>
          <w:szCs w:val="32"/>
        </w:rPr>
        <w:t>本科生综合测评委员会</w:t>
      </w:r>
      <w:r>
        <w:rPr>
          <w:rFonts w:ascii="Times New Roman" w:hAnsi="Times New Roman" w:eastAsia="仿宋_GB2312"/>
          <w:color w:val="auto"/>
          <w:sz w:val="32"/>
          <w:szCs w:val="32"/>
        </w:rPr>
        <w:t>研究决定。</w:t>
      </w:r>
    </w:p>
    <w:p w14:paraId="58961E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第</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条 本办法适用于</w:t>
      </w:r>
      <w:r>
        <w:rPr>
          <w:rFonts w:hint="eastAsia" w:ascii="Times New Roman" w:hAnsi="Times New Roman" w:eastAsia="仿宋_GB2312"/>
          <w:color w:val="auto"/>
          <w:sz w:val="32"/>
          <w:szCs w:val="32"/>
          <w:lang w:val="en-US" w:eastAsia="zh-CN"/>
        </w:rPr>
        <w:t>文理学院/文化艺术学院</w:t>
      </w:r>
      <w:r>
        <w:rPr>
          <w:rFonts w:ascii="Times New Roman" w:hAnsi="Times New Roman" w:eastAsia="仿宋_GB2312"/>
          <w:color w:val="auto"/>
          <w:sz w:val="32"/>
          <w:szCs w:val="32"/>
        </w:rPr>
        <w:t>2024年及以后入学学生</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2023年及以前入学学生按原有办法执行。</w:t>
      </w:r>
    </w:p>
    <w:p w14:paraId="256D74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第</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条 本办法自发布之日起开始执行，由</w:t>
      </w:r>
      <w:r>
        <w:rPr>
          <w:rFonts w:hint="eastAsia" w:ascii="Times New Roman" w:hAnsi="Times New Roman" w:eastAsia="仿宋_GB2312"/>
          <w:color w:val="auto"/>
          <w:sz w:val="32"/>
          <w:szCs w:val="32"/>
          <w:lang w:val="en-US" w:eastAsia="zh-CN"/>
        </w:rPr>
        <w:t>文理学院/文化艺术学院</w:t>
      </w:r>
      <w:r>
        <w:rPr>
          <w:rFonts w:hint="eastAsia" w:ascii="Times New Roman" w:hAnsi="Times New Roman" w:eastAsia="仿宋_GB2312"/>
          <w:color w:val="auto"/>
          <w:sz w:val="32"/>
          <w:szCs w:val="32"/>
        </w:rPr>
        <w:t>本科生综合测评委员会</w:t>
      </w:r>
      <w:r>
        <w:rPr>
          <w:rFonts w:ascii="Times New Roman" w:hAnsi="Times New Roman" w:eastAsia="仿宋_GB2312"/>
          <w:color w:val="auto"/>
          <w:sz w:val="32"/>
          <w:szCs w:val="32"/>
        </w:rPr>
        <w:t>负责解释。</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4C7006-225F-4597-9389-EDA09D7ADF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5229F62-B18D-49AF-9582-7ABF96F7B770}"/>
  </w:font>
  <w:font w:name="方正小标宋简体">
    <w:panose1 w:val="02000000000000000000"/>
    <w:charset w:val="86"/>
    <w:family w:val="auto"/>
    <w:pitch w:val="default"/>
    <w:sig w:usb0="00000001" w:usb1="08000000" w:usb2="00000000" w:usb3="00000000" w:csb0="00040000" w:csb1="00000000"/>
    <w:embedRegular r:id="rId3" w:fontKey="{48EDFBF1-F26D-4B65-8569-0700BF3F08BD}"/>
  </w:font>
  <w:font w:name="仿宋_GB2312">
    <w:panose1 w:val="02010609030101010101"/>
    <w:charset w:val="86"/>
    <w:family w:val="modern"/>
    <w:pitch w:val="default"/>
    <w:sig w:usb0="00000001" w:usb1="080E0000" w:usb2="00000000" w:usb3="00000000" w:csb0="00040000" w:csb1="00000000"/>
    <w:embedRegular r:id="rId4" w:fontKey="{963329A9-710D-4E62-9F27-288438A8D0E9}"/>
  </w:font>
  <w:font w:name="楷体_GB2312">
    <w:panose1 w:val="02010609030101010101"/>
    <w:charset w:val="86"/>
    <w:family w:val="auto"/>
    <w:pitch w:val="default"/>
    <w:sig w:usb0="00000001" w:usb1="080E0000" w:usb2="00000000" w:usb3="00000000" w:csb0="00040000" w:csb1="00000000"/>
    <w:embedRegular r:id="rId5" w:fontKey="{0089B498-2448-4FD7-A4EC-65AC0B8F6B5E}"/>
  </w:font>
  <w:font w:name="仿宋">
    <w:panose1 w:val="02010609060101010101"/>
    <w:charset w:val="86"/>
    <w:family w:val="modern"/>
    <w:pitch w:val="default"/>
    <w:sig w:usb0="800002BF" w:usb1="38CF7CFA" w:usb2="00000016" w:usb3="00000000" w:csb0="00040001" w:csb1="00000000"/>
    <w:embedRegular r:id="rId6" w:fontKey="{644B3D33-321A-4A62-9249-B0FF90EDAEE3}"/>
  </w:font>
  <w:font w:name="Cambria Math">
    <w:panose1 w:val="02040503050406030204"/>
    <w:charset w:val="00"/>
    <w:family w:val="roman"/>
    <w:pitch w:val="default"/>
    <w:sig w:usb0="E00006FF" w:usb1="420024FF" w:usb2="02000000" w:usb3="00000000" w:csb0="2000019F" w:csb1="00000000"/>
    <w:embedRegular r:id="rId7" w:fontKey="{9862474C-C6FE-4AE7-95DF-18E1D2BFE8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65620"/>
      <w:docPartObj>
        <w:docPartGallery w:val="autotext"/>
      </w:docPartObj>
    </w:sdtPr>
    <w:sdtEndPr>
      <w:rPr>
        <w:rFonts w:ascii="Times New Roman" w:hAnsi="Times New Roman" w:cs="Times New Roman"/>
        <w:sz w:val="20"/>
        <w:szCs w:val="20"/>
      </w:rPr>
    </w:sdtEndPr>
    <w:sdtContent>
      <w:p w14:paraId="51BC0F5F">
        <w:pPr>
          <w:pStyle w:val="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sdtContent>
  </w:sdt>
  <w:p w14:paraId="3392A96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736D6"/>
    <w:multiLevelType w:val="multilevel"/>
    <w:tmpl w:val="38E736D6"/>
    <w:lvl w:ilvl="0" w:tentative="0">
      <w:start w:val="1"/>
      <w:numFmt w:val="decimal"/>
      <w:lvlText w:val="%1."/>
      <w:lvlJc w:val="left"/>
      <w:pPr>
        <w:ind w:left="970" w:hanging="33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2MmIxYjI4YTIwMDVmZWM4MjdiMzEyMGM0NGM5NDgifQ=="/>
  </w:docVars>
  <w:rsids>
    <w:rsidRoot w:val="00522E3F"/>
    <w:rsid w:val="000149A6"/>
    <w:rsid w:val="00030BAC"/>
    <w:rsid w:val="000478DA"/>
    <w:rsid w:val="00055A5C"/>
    <w:rsid w:val="00067138"/>
    <w:rsid w:val="00074C87"/>
    <w:rsid w:val="00080CF0"/>
    <w:rsid w:val="00090059"/>
    <w:rsid w:val="0009299B"/>
    <w:rsid w:val="000C20D0"/>
    <w:rsid w:val="000C3579"/>
    <w:rsid w:val="000C7CD4"/>
    <w:rsid w:val="000D48A3"/>
    <w:rsid w:val="00105060"/>
    <w:rsid w:val="00111EE3"/>
    <w:rsid w:val="00136D9E"/>
    <w:rsid w:val="00163B4C"/>
    <w:rsid w:val="00166B56"/>
    <w:rsid w:val="00174254"/>
    <w:rsid w:val="0018738B"/>
    <w:rsid w:val="00194728"/>
    <w:rsid w:val="001B4C1F"/>
    <w:rsid w:val="001C0D30"/>
    <w:rsid w:val="001D6203"/>
    <w:rsid w:val="001F479F"/>
    <w:rsid w:val="0020509B"/>
    <w:rsid w:val="00214516"/>
    <w:rsid w:val="002311E6"/>
    <w:rsid w:val="00252FA6"/>
    <w:rsid w:val="00262358"/>
    <w:rsid w:val="00262AB5"/>
    <w:rsid w:val="002A06FC"/>
    <w:rsid w:val="002A7E65"/>
    <w:rsid w:val="002B0BAF"/>
    <w:rsid w:val="002B4217"/>
    <w:rsid w:val="00320E0A"/>
    <w:rsid w:val="0035698D"/>
    <w:rsid w:val="00385330"/>
    <w:rsid w:val="003B4A11"/>
    <w:rsid w:val="003C50EA"/>
    <w:rsid w:val="00417AD8"/>
    <w:rsid w:val="00423651"/>
    <w:rsid w:val="00446040"/>
    <w:rsid w:val="00462D39"/>
    <w:rsid w:val="0046616C"/>
    <w:rsid w:val="0046698F"/>
    <w:rsid w:val="00484A01"/>
    <w:rsid w:val="00486599"/>
    <w:rsid w:val="004A06F6"/>
    <w:rsid w:val="004A62BE"/>
    <w:rsid w:val="004B3363"/>
    <w:rsid w:val="004B4DCF"/>
    <w:rsid w:val="004E05AC"/>
    <w:rsid w:val="004E1523"/>
    <w:rsid w:val="00520F55"/>
    <w:rsid w:val="00522E3F"/>
    <w:rsid w:val="005249B8"/>
    <w:rsid w:val="00531CBD"/>
    <w:rsid w:val="00554FEA"/>
    <w:rsid w:val="00583678"/>
    <w:rsid w:val="00586A6D"/>
    <w:rsid w:val="005B4CB2"/>
    <w:rsid w:val="005D3C6F"/>
    <w:rsid w:val="005E7A2D"/>
    <w:rsid w:val="00605C84"/>
    <w:rsid w:val="00625D94"/>
    <w:rsid w:val="00630AF9"/>
    <w:rsid w:val="00656FB3"/>
    <w:rsid w:val="006829C8"/>
    <w:rsid w:val="006948CF"/>
    <w:rsid w:val="006A4738"/>
    <w:rsid w:val="006A4938"/>
    <w:rsid w:val="006A642D"/>
    <w:rsid w:val="006B0F8D"/>
    <w:rsid w:val="006B3D02"/>
    <w:rsid w:val="006D6492"/>
    <w:rsid w:val="006E6D8A"/>
    <w:rsid w:val="006F1368"/>
    <w:rsid w:val="006F271B"/>
    <w:rsid w:val="0071683E"/>
    <w:rsid w:val="00717144"/>
    <w:rsid w:val="0072510C"/>
    <w:rsid w:val="00733ED2"/>
    <w:rsid w:val="00764875"/>
    <w:rsid w:val="00767C4B"/>
    <w:rsid w:val="00767F23"/>
    <w:rsid w:val="007938E2"/>
    <w:rsid w:val="007B53B0"/>
    <w:rsid w:val="007F110D"/>
    <w:rsid w:val="007F1AF6"/>
    <w:rsid w:val="007F2419"/>
    <w:rsid w:val="008058BA"/>
    <w:rsid w:val="00816597"/>
    <w:rsid w:val="0082199C"/>
    <w:rsid w:val="00857E95"/>
    <w:rsid w:val="00864CD8"/>
    <w:rsid w:val="008A0DAB"/>
    <w:rsid w:val="008B0476"/>
    <w:rsid w:val="008D1130"/>
    <w:rsid w:val="008D3E19"/>
    <w:rsid w:val="008D65AA"/>
    <w:rsid w:val="008E40D6"/>
    <w:rsid w:val="008F2E7C"/>
    <w:rsid w:val="00900CA0"/>
    <w:rsid w:val="0090105E"/>
    <w:rsid w:val="009051B6"/>
    <w:rsid w:val="00907CB3"/>
    <w:rsid w:val="00922229"/>
    <w:rsid w:val="009342F0"/>
    <w:rsid w:val="00965DA7"/>
    <w:rsid w:val="00966EBB"/>
    <w:rsid w:val="0099598E"/>
    <w:rsid w:val="00997548"/>
    <w:rsid w:val="009A0B2A"/>
    <w:rsid w:val="009B1C0E"/>
    <w:rsid w:val="009C0155"/>
    <w:rsid w:val="009D01A0"/>
    <w:rsid w:val="009D35F8"/>
    <w:rsid w:val="00A12264"/>
    <w:rsid w:val="00A2356D"/>
    <w:rsid w:val="00A6788F"/>
    <w:rsid w:val="00A876CC"/>
    <w:rsid w:val="00AA13C5"/>
    <w:rsid w:val="00AB0E7E"/>
    <w:rsid w:val="00AB7B23"/>
    <w:rsid w:val="00B07985"/>
    <w:rsid w:val="00B1246A"/>
    <w:rsid w:val="00B2286F"/>
    <w:rsid w:val="00B240A8"/>
    <w:rsid w:val="00B301D4"/>
    <w:rsid w:val="00B524C1"/>
    <w:rsid w:val="00B54864"/>
    <w:rsid w:val="00B60CF5"/>
    <w:rsid w:val="00B67C43"/>
    <w:rsid w:val="00B81AA2"/>
    <w:rsid w:val="00B823B7"/>
    <w:rsid w:val="00B93013"/>
    <w:rsid w:val="00BD1C74"/>
    <w:rsid w:val="00BD24D4"/>
    <w:rsid w:val="00BD4BAD"/>
    <w:rsid w:val="00BD7E76"/>
    <w:rsid w:val="00BF75E1"/>
    <w:rsid w:val="00C16C68"/>
    <w:rsid w:val="00C22908"/>
    <w:rsid w:val="00C30738"/>
    <w:rsid w:val="00C36CB6"/>
    <w:rsid w:val="00C46616"/>
    <w:rsid w:val="00C65621"/>
    <w:rsid w:val="00C67D42"/>
    <w:rsid w:val="00C90B61"/>
    <w:rsid w:val="00C926B7"/>
    <w:rsid w:val="00CA44CB"/>
    <w:rsid w:val="00CC04C3"/>
    <w:rsid w:val="00CC435F"/>
    <w:rsid w:val="00CD50D4"/>
    <w:rsid w:val="00CD6AAA"/>
    <w:rsid w:val="00CE5327"/>
    <w:rsid w:val="00CF280F"/>
    <w:rsid w:val="00D06422"/>
    <w:rsid w:val="00D07525"/>
    <w:rsid w:val="00D26792"/>
    <w:rsid w:val="00D46AB6"/>
    <w:rsid w:val="00D7111A"/>
    <w:rsid w:val="00D845C3"/>
    <w:rsid w:val="00D8611A"/>
    <w:rsid w:val="00DC6C45"/>
    <w:rsid w:val="00DC7320"/>
    <w:rsid w:val="00DE23DB"/>
    <w:rsid w:val="00DE380A"/>
    <w:rsid w:val="00DE4FF9"/>
    <w:rsid w:val="00DE6B31"/>
    <w:rsid w:val="00DE7961"/>
    <w:rsid w:val="00DF53DA"/>
    <w:rsid w:val="00E07E32"/>
    <w:rsid w:val="00E07FD2"/>
    <w:rsid w:val="00E233BF"/>
    <w:rsid w:val="00E2653F"/>
    <w:rsid w:val="00E2777B"/>
    <w:rsid w:val="00E436ED"/>
    <w:rsid w:val="00E470F2"/>
    <w:rsid w:val="00E5669B"/>
    <w:rsid w:val="00E62DB6"/>
    <w:rsid w:val="00E64958"/>
    <w:rsid w:val="00E71048"/>
    <w:rsid w:val="00E7658B"/>
    <w:rsid w:val="00E856ED"/>
    <w:rsid w:val="00E92478"/>
    <w:rsid w:val="00E944D6"/>
    <w:rsid w:val="00EA7DCF"/>
    <w:rsid w:val="00EB029B"/>
    <w:rsid w:val="00EB32C5"/>
    <w:rsid w:val="00EC2C55"/>
    <w:rsid w:val="00ED4510"/>
    <w:rsid w:val="00ED7D2F"/>
    <w:rsid w:val="00EE6021"/>
    <w:rsid w:val="00EF2853"/>
    <w:rsid w:val="00F060B9"/>
    <w:rsid w:val="00F12663"/>
    <w:rsid w:val="00F162C9"/>
    <w:rsid w:val="00F1754E"/>
    <w:rsid w:val="00F26920"/>
    <w:rsid w:val="00F31096"/>
    <w:rsid w:val="00F376C7"/>
    <w:rsid w:val="00F8040D"/>
    <w:rsid w:val="00F812D7"/>
    <w:rsid w:val="00F81FD9"/>
    <w:rsid w:val="00F90934"/>
    <w:rsid w:val="00F90F03"/>
    <w:rsid w:val="00FA7B0A"/>
    <w:rsid w:val="00FB359D"/>
    <w:rsid w:val="00FC7E9B"/>
    <w:rsid w:val="00FF0683"/>
    <w:rsid w:val="00FF20EA"/>
    <w:rsid w:val="00FF4117"/>
    <w:rsid w:val="00FF7B77"/>
    <w:rsid w:val="00FF7DB9"/>
    <w:rsid w:val="00FF7F82"/>
    <w:rsid w:val="113106CF"/>
    <w:rsid w:val="232F08AC"/>
    <w:rsid w:val="469369E7"/>
    <w:rsid w:val="50A53BDC"/>
    <w:rsid w:val="5EAE56CF"/>
    <w:rsid w:val="63FA22DF"/>
    <w:rsid w:val="7286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B956-24D6-497E-BFF4-5E621805321E}">
  <ds:schemaRefs/>
</ds:datastoreItem>
</file>

<file path=docProps/app.xml><?xml version="1.0" encoding="utf-8"?>
<Properties xmlns="http://schemas.openxmlformats.org/officeDocument/2006/extended-properties" xmlns:vt="http://schemas.openxmlformats.org/officeDocument/2006/docPropsVTypes">
  <Template>Normal</Template>
  <Pages>14</Pages>
  <Words>2345</Words>
  <Characters>2506</Characters>
  <Lines>45</Lines>
  <Paragraphs>12</Paragraphs>
  <TotalTime>30</TotalTime>
  <ScaleCrop>false</ScaleCrop>
  <LinksUpToDate>false</LinksUpToDate>
  <CharactersWithSpaces>2519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2025-01-07T03:23:00Z</dcterms:created>
  <dc:creator>huawei</dc:creator>
  <cp:lastModifiedBy>李嘉硕</cp:lastModifiedBy>
  <dcterms:modified xsi:type="dcterms:W3CDTF">2025-01-10T02:05:20Z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A3F533F8786F4742A5F49BD3D3159951_13</vt:lpwstr>
  </property>
</Properties>
</file>