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397A4">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2025年</w:t>
      </w:r>
      <w:r>
        <w:rPr>
          <w:rFonts w:hint="eastAsia" w:ascii="方正小标宋简体" w:hAnsi="方正小标宋简体" w:eastAsia="方正小标宋简体" w:cs="方正小标宋简体"/>
          <w:b w:val="0"/>
          <w:bCs/>
          <w:sz w:val="44"/>
          <w:szCs w:val="44"/>
        </w:rPr>
        <w:t>文理学院</w:t>
      </w:r>
      <w:r>
        <w:rPr>
          <w:rFonts w:hint="eastAsia" w:ascii="方正小标宋简体" w:hAnsi="方正小标宋简体" w:eastAsia="方正小标宋简体" w:cs="方正小标宋简体"/>
          <w:b w:val="0"/>
          <w:bCs/>
          <w:sz w:val="44"/>
          <w:szCs w:val="44"/>
          <w:lang w:val="en-US" w:eastAsia="zh-CN"/>
        </w:rPr>
        <w:t>/文化艺术学院</w:t>
      </w:r>
      <w:r>
        <w:rPr>
          <w:rFonts w:hint="eastAsia" w:ascii="方正小标宋简体" w:hAnsi="方正小标宋简体" w:eastAsia="方正小标宋简体" w:cs="方正小标宋简体"/>
          <w:b w:val="0"/>
          <w:bCs/>
          <w:sz w:val="44"/>
          <w:szCs w:val="44"/>
        </w:rPr>
        <w:t>本科生综合测评</w:t>
      </w:r>
      <w:r>
        <w:rPr>
          <w:rFonts w:hint="eastAsia" w:ascii="方正小标宋简体" w:hAnsi="方正小标宋简体" w:eastAsia="方正小标宋简体" w:cs="方正小标宋简体"/>
          <w:b w:val="0"/>
          <w:bCs/>
          <w:sz w:val="44"/>
          <w:szCs w:val="44"/>
          <w:lang w:val="en-US" w:eastAsia="zh-CN"/>
        </w:rPr>
        <w:t>补充条例</w:t>
      </w:r>
    </w:p>
    <w:p w14:paraId="51AD47B4">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p>
    <w:p w14:paraId="10DD43ED">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r>
        <w:rPr>
          <w:rFonts w:ascii="Times New Roman" w:hAnsi="Times New Roman" w:eastAsia="仿宋_GB2312" w:cs="宋体"/>
          <w:kern w:val="0"/>
          <w:sz w:val="32"/>
          <w:szCs w:val="28"/>
        </w:rPr>
        <w:t>为了进一步规范学院</w:t>
      </w:r>
      <w:r>
        <w:rPr>
          <w:rFonts w:hint="eastAsia" w:ascii="Times New Roman" w:hAnsi="Times New Roman" w:eastAsia="仿宋_GB2312" w:cs="宋体"/>
          <w:kern w:val="0"/>
          <w:sz w:val="32"/>
          <w:szCs w:val="28"/>
        </w:rPr>
        <w:t>学生工作日常管理</w:t>
      </w:r>
      <w:r>
        <w:rPr>
          <w:rFonts w:ascii="Times New Roman" w:hAnsi="Times New Roman" w:eastAsia="仿宋_GB2312" w:cs="宋体"/>
          <w:kern w:val="0"/>
          <w:sz w:val="32"/>
          <w:szCs w:val="28"/>
        </w:rPr>
        <w:t>，</w:t>
      </w:r>
      <w:r>
        <w:rPr>
          <w:rFonts w:hint="eastAsia" w:ascii="Times New Roman" w:hAnsi="Times New Roman" w:eastAsia="仿宋_GB2312" w:cs="宋体"/>
          <w:kern w:val="0"/>
          <w:sz w:val="32"/>
          <w:szCs w:val="28"/>
        </w:rPr>
        <w:t>鼓励我院学生积极参加科技创新、社会实践、志愿服务、文艺体育、征文演讲等活动，依据《中国石油大学（北京）克拉玛依</w:t>
      </w:r>
      <w:r>
        <w:rPr>
          <w:rFonts w:ascii="Times New Roman" w:hAnsi="Times New Roman" w:eastAsia="仿宋_GB2312" w:cs="宋体"/>
          <w:kern w:val="0"/>
          <w:sz w:val="32"/>
          <w:szCs w:val="28"/>
        </w:rPr>
        <w:t>校区</w:t>
      </w:r>
      <w:r>
        <w:rPr>
          <w:rFonts w:hint="eastAsia" w:ascii="Times New Roman" w:hAnsi="Times New Roman" w:eastAsia="仿宋_GB2312" w:cs="宋体"/>
          <w:kern w:val="0"/>
          <w:sz w:val="32"/>
          <w:szCs w:val="28"/>
        </w:rPr>
        <w:t>本科生综合测评办法》制定此</w:t>
      </w:r>
      <w:r>
        <w:rPr>
          <w:rFonts w:hint="eastAsia" w:ascii="Times New Roman" w:hAnsi="Times New Roman" w:eastAsia="仿宋_GB2312" w:cs="宋体"/>
          <w:kern w:val="0"/>
          <w:sz w:val="32"/>
          <w:szCs w:val="28"/>
          <w:lang w:val="en-US" w:eastAsia="zh-CN"/>
        </w:rPr>
        <w:t>条例</w:t>
      </w:r>
      <w:r>
        <w:rPr>
          <w:rFonts w:hint="eastAsia" w:ascii="Times New Roman" w:hAnsi="Times New Roman" w:eastAsia="仿宋_GB2312" w:cs="宋体"/>
          <w:kern w:val="0"/>
          <w:sz w:val="32"/>
          <w:szCs w:val="28"/>
        </w:rPr>
        <w:t>。</w:t>
      </w:r>
    </w:p>
    <w:p w14:paraId="13838A4E">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黑体" w:hAnsi="黑体" w:eastAsia="黑体" w:cs="黑体"/>
          <w:kern w:val="0"/>
          <w:sz w:val="32"/>
          <w:szCs w:val="28"/>
        </w:rPr>
      </w:pPr>
      <w:r>
        <w:rPr>
          <w:rFonts w:hint="eastAsia" w:ascii="黑体" w:hAnsi="黑体" w:eastAsia="黑体" w:cs="黑体"/>
          <w:kern w:val="0"/>
          <w:sz w:val="32"/>
          <w:szCs w:val="28"/>
        </w:rPr>
        <w:t>第一条  本办法适用于文理学院</w:t>
      </w:r>
      <w:r>
        <w:rPr>
          <w:rFonts w:hint="eastAsia" w:ascii="黑体" w:hAnsi="黑体" w:eastAsia="黑体" w:cs="黑体"/>
          <w:kern w:val="0"/>
          <w:sz w:val="32"/>
          <w:szCs w:val="28"/>
          <w:lang w:val="en-US" w:eastAsia="zh-CN"/>
        </w:rPr>
        <w:t>/文化艺术学院</w:t>
      </w:r>
      <w:r>
        <w:rPr>
          <w:rFonts w:hint="eastAsia" w:ascii="黑体" w:hAnsi="黑体" w:eastAsia="黑体" w:cs="黑体"/>
          <w:b w:val="0"/>
          <w:bCs w:val="0"/>
          <w:color w:val="FF0000"/>
          <w:kern w:val="0"/>
          <w:sz w:val="32"/>
          <w:szCs w:val="28"/>
          <w:lang w:val="en-US" w:eastAsia="zh-CN"/>
        </w:rPr>
        <w:t>2022和2023级</w:t>
      </w:r>
      <w:r>
        <w:rPr>
          <w:rFonts w:hint="eastAsia" w:ascii="黑体" w:hAnsi="黑体" w:eastAsia="黑体" w:cs="黑体"/>
          <w:b w:val="0"/>
          <w:bCs w:val="0"/>
          <w:color w:val="FF0000"/>
          <w:kern w:val="0"/>
          <w:sz w:val="32"/>
          <w:szCs w:val="28"/>
        </w:rPr>
        <w:t>本科生</w:t>
      </w:r>
      <w:r>
        <w:rPr>
          <w:rFonts w:hint="eastAsia" w:ascii="黑体" w:hAnsi="黑体" w:eastAsia="黑体" w:cs="黑体"/>
          <w:b w:val="0"/>
          <w:bCs w:val="0"/>
          <w:kern w:val="0"/>
          <w:sz w:val="32"/>
          <w:szCs w:val="28"/>
        </w:rPr>
        <w:t>。</w:t>
      </w:r>
    </w:p>
    <w:p w14:paraId="385D9672">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黑体" w:hAnsi="黑体" w:eastAsia="黑体" w:cs="黑体"/>
          <w:kern w:val="0"/>
          <w:sz w:val="32"/>
          <w:szCs w:val="28"/>
        </w:rPr>
      </w:pPr>
      <w:r>
        <w:rPr>
          <w:rFonts w:hint="eastAsia" w:ascii="黑体" w:hAnsi="黑体" w:eastAsia="黑体" w:cs="黑体"/>
          <w:kern w:val="0"/>
          <w:sz w:val="32"/>
          <w:szCs w:val="28"/>
        </w:rPr>
        <w:t>第二条  综合测评所有加分时间节点为当年</w:t>
      </w:r>
      <w:r>
        <w:rPr>
          <w:rFonts w:hint="eastAsia" w:ascii="黑体" w:hAnsi="黑体" w:eastAsia="黑体" w:cs="黑体"/>
          <w:color w:val="FF0000"/>
          <w:kern w:val="0"/>
          <w:sz w:val="32"/>
          <w:szCs w:val="28"/>
        </w:rPr>
        <w:t>8月31日</w:t>
      </w:r>
      <w:r>
        <w:rPr>
          <w:rFonts w:hint="eastAsia" w:ascii="黑体" w:hAnsi="黑体" w:eastAsia="黑体" w:cs="黑体"/>
          <w:kern w:val="0"/>
          <w:sz w:val="32"/>
          <w:szCs w:val="28"/>
        </w:rPr>
        <w:t>，所有具备加分资格的条目应在上述时间内取得。</w:t>
      </w:r>
    </w:p>
    <w:p w14:paraId="79617185">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黑体" w:hAnsi="黑体" w:eastAsia="黑体" w:cs="黑体"/>
          <w:kern w:val="0"/>
          <w:sz w:val="32"/>
          <w:szCs w:val="28"/>
        </w:rPr>
      </w:pPr>
      <w:r>
        <w:rPr>
          <w:rFonts w:hint="eastAsia" w:ascii="黑体" w:hAnsi="黑体" w:eastAsia="黑体" w:cs="黑体"/>
          <w:kern w:val="0"/>
          <w:sz w:val="32"/>
          <w:szCs w:val="28"/>
        </w:rPr>
        <w:t>第三条  实施细则</w:t>
      </w:r>
    </w:p>
    <w:p w14:paraId="2A4D00EA">
      <w:pPr>
        <w:pStyle w:val="8"/>
        <w:keepNext w:val="0"/>
        <w:keepLines w:val="0"/>
        <w:pageBreakBefore w:val="0"/>
        <w:widowControl/>
        <w:numPr>
          <w:ilvl w:val="0"/>
          <w:numId w:val="1"/>
        </w:numPr>
        <w:kinsoku/>
        <w:wordWrap/>
        <w:overflowPunct/>
        <w:topLinePunct w:val="0"/>
        <w:autoSpaceDE/>
        <w:autoSpaceDN/>
        <w:bidi w:val="0"/>
        <w:spacing w:line="560" w:lineRule="exact"/>
        <w:ind w:left="0" w:firstLine="560"/>
        <w:jc w:val="left"/>
        <w:textAlignment w:val="auto"/>
        <w:rPr>
          <w:rFonts w:hint="eastAsia" w:ascii="楷体_GB2312" w:hAnsi="楷体_GB2312" w:eastAsia="楷体_GB2312" w:cs="楷体_GB2312"/>
          <w:kern w:val="0"/>
          <w:sz w:val="32"/>
          <w:szCs w:val="28"/>
        </w:rPr>
      </w:pPr>
      <w:r>
        <w:rPr>
          <w:rFonts w:hint="eastAsia" w:ascii="楷体_GB2312" w:hAnsi="楷体_GB2312" w:eastAsia="楷体_GB2312" w:cs="楷体_GB2312"/>
          <w:kern w:val="0"/>
          <w:sz w:val="32"/>
          <w:szCs w:val="28"/>
        </w:rPr>
        <w:t>德育部分</w:t>
      </w:r>
    </w:p>
    <w:p w14:paraId="7673C1BD">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rPr>
        <w:t>1</w:t>
      </w:r>
      <w:r>
        <w:rPr>
          <w:rFonts w:ascii="Times New Roman" w:hAnsi="Times New Roman" w:eastAsia="仿宋_GB2312" w:cs="宋体"/>
          <w:kern w:val="0"/>
          <w:sz w:val="32"/>
          <w:szCs w:val="28"/>
        </w:rPr>
        <w:t>.</w:t>
      </w:r>
      <w:r>
        <w:rPr>
          <w:rFonts w:hint="eastAsia" w:ascii="Times New Roman" w:hAnsi="Times New Roman" w:eastAsia="仿宋_GB2312" w:cs="宋体"/>
          <w:kern w:val="0"/>
          <w:sz w:val="32"/>
          <w:szCs w:val="28"/>
        </w:rPr>
        <w:t>被评为市级优秀集体及校级示范班集体的，每人加2人；被评为校级先进班集体的，每人加1分（即：市级及校级一档加2分，校级二档加1分）。</w:t>
      </w:r>
    </w:p>
    <w:p w14:paraId="6728E5C0">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r>
        <w:rPr>
          <w:rFonts w:ascii="Times New Roman" w:hAnsi="Times New Roman" w:eastAsia="仿宋_GB2312" w:cs="宋体"/>
          <w:kern w:val="0"/>
          <w:sz w:val="32"/>
          <w:szCs w:val="28"/>
        </w:rPr>
        <w:t>2.</w:t>
      </w:r>
      <w:r>
        <w:rPr>
          <w:rFonts w:hint="eastAsia" w:ascii="Times New Roman" w:hAnsi="Times New Roman" w:eastAsia="仿宋_GB2312" w:cs="宋体"/>
          <w:kern w:val="0"/>
          <w:sz w:val="32"/>
          <w:szCs w:val="28"/>
        </w:rPr>
        <w:t>担任学生干部或其它职务，任期满一学年</w:t>
      </w:r>
      <w:r>
        <w:rPr>
          <w:rFonts w:ascii="Times New Roman" w:hAnsi="Times New Roman" w:eastAsia="仿宋_GB2312" w:cs="宋体"/>
          <w:kern w:val="0"/>
          <w:sz w:val="32"/>
          <w:szCs w:val="28"/>
        </w:rPr>
        <w:t>(含，下同)以上，根据其工作表现，按下述标准酌情加分(</w:t>
      </w:r>
      <w:r>
        <w:rPr>
          <w:rFonts w:ascii="Times New Roman" w:hAnsi="Times New Roman" w:eastAsia="仿宋_GB2312" w:cs="宋体"/>
          <w:color w:val="FF0000"/>
          <w:kern w:val="0"/>
          <w:sz w:val="32"/>
          <w:szCs w:val="28"/>
        </w:rPr>
        <w:t>兼职学生干部按主职岗位计分，每人兼职岗位最多可累加一项，视其工作业绩在附加分中按兼职岗位得分乘上0.2的系数后累加</w:t>
      </w:r>
      <w:r>
        <w:rPr>
          <w:rFonts w:ascii="Times New Roman" w:hAnsi="Times New Roman" w:eastAsia="仿宋_GB2312" w:cs="宋体"/>
          <w:kern w:val="0"/>
          <w:sz w:val="32"/>
          <w:szCs w:val="28"/>
        </w:rPr>
        <w:t>)</w:t>
      </w:r>
      <w:r>
        <w:rPr>
          <w:rFonts w:hint="eastAsia" w:ascii="Times New Roman" w:hAnsi="Times New Roman" w:eastAsia="仿宋_GB2312" w:cs="宋体"/>
          <w:kern w:val="0"/>
          <w:sz w:val="32"/>
          <w:szCs w:val="28"/>
        </w:rPr>
        <w:t>。</w:t>
      </w:r>
    </w:p>
    <w:p w14:paraId="2702E14D">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rPr>
        <w:t>（1）校区学生会、学院学生会成员</w:t>
      </w:r>
      <w:r>
        <w:rPr>
          <w:rFonts w:ascii="Times New Roman" w:hAnsi="Times New Roman" w:eastAsia="仿宋_GB2312" w:cs="宋体"/>
          <w:kern w:val="0"/>
          <w:sz w:val="32"/>
          <w:szCs w:val="28"/>
        </w:rPr>
        <w:t>加分标准</w:t>
      </w:r>
      <w:r>
        <w:rPr>
          <w:rFonts w:hint="eastAsia" w:ascii="Times New Roman" w:hAnsi="Times New Roman" w:eastAsia="仿宋_GB2312" w:cs="宋体"/>
          <w:kern w:val="0"/>
          <w:sz w:val="32"/>
          <w:szCs w:val="28"/>
        </w:rPr>
        <w:t>：</w:t>
      </w:r>
      <w:r>
        <w:rPr>
          <w:rFonts w:ascii="Times New Roman" w:hAnsi="Times New Roman" w:eastAsia="仿宋_GB2312" w:cs="宋体"/>
          <w:kern w:val="0"/>
          <w:sz w:val="32"/>
          <w:szCs w:val="28"/>
        </w:rPr>
        <w:t>正副主席0-10分；正副部长0-6分；部委0-4分。</w:t>
      </w:r>
    </w:p>
    <w:p w14:paraId="348A05B0">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rPr>
        <w:t>（2）校区功能型社团成员</w:t>
      </w:r>
      <w:r>
        <w:rPr>
          <w:rFonts w:ascii="Times New Roman" w:hAnsi="Times New Roman" w:eastAsia="仿宋_GB2312" w:cs="宋体"/>
          <w:kern w:val="0"/>
          <w:sz w:val="32"/>
          <w:szCs w:val="28"/>
        </w:rPr>
        <w:t>加分标准</w:t>
      </w:r>
      <w:r>
        <w:rPr>
          <w:rFonts w:hint="eastAsia" w:ascii="Times New Roman" w:hAnsi="Times New Roman" w:eastAsia="仿宋_GB2312" w:cs="宋体"/>
          <w:kern w:val="0"/>
          <w:sz w:val="32"/>
          <w:szCs w:val="28"/>
        </w:rPr>
        <w:t>：</w:t>
      </w:r>
      <w:r>
        <w:rPr>
          <w:rFonts w:ascii="Times New Roman" w:hAnsi="Times New Roman" w:eastAsia="仿宋_GB2312" w:cs="宋体"/>
          <w:kern w:val="0"/>
          <w:sz w:val="32"/>
          <w:szCs w:val="28"/>
        </w:rPr>
        <w:t>正副</w:t>
      </w:r>
      <w:r>
        <w:rPr>
          <w:rFonts w:hint="eastAsia" w:ascii="Times New Roman" w:hAnsi="Times New Roman" w:eastAsia="仿宋_GB2312" w:cs="宋体"/>
          <w:kern w:val="0"/>
          <w:sz w:val="32"/>
          <w:szCs w:val="28"/>
        </w:rPr>
        <w:t>职</w:t>
      </w:r>
      <w:r>
        <w:rPr>
          <w:rFonts w:ascii="Times New Roman" w:hAnsi="Times New Roman" w:eastAsia="仿宋_GB2312" w:cs="宋体"/>
          <w:kern w:val="0"/>
          <w:sz w:val="32"/>
          <w:szCs w:val="28"/>
        </w:rPr>
        <w:t>0-10分；</w:t>
      </w:r>
      <w:r>
        <w:rPr>
          <w:rFonts w:hint="eastAsia" w:ascii="Times New Roman" w:hAnsi="Times New Roman" w:eastAsia="仿宋_GB2312" w:cs="宋体"/>
          <w:kern w:val="0"/>
          <w:sz w:val="32"/>
          <w:szCs w:val="28"/>
        </w:rPr>
        <w:t>部门负责人</w:t>
      </w:r>
      <w:r>
        <w:rPr>
          <w:rFonts w:ascii="Times New Roman" w:hAnsi="Times New Roman" w:eastAsia="仿宋_GB2312" w:cs="宋体"/>
          <w:kern w:val="0"/>
          <w:sz w:val="32"/>
          <w:szCs w:val="28"/>
        </w:rPr>
        <w:t>0-6分。</w:t>
      </w:r>
    </w:p>
    <w:p w14:paraId="2E090C0D">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rPr>
        <w:t>（3）校区兴趣型</w:t>
      </w:r>
      <w:r>
        <w:rPr>
          <w:rFonts w:ascii="Times New Roman" w:hAnsi="Times New Roman" w:eastAsia="仿宋_GB2312" w:cs="宋体"/>
          <w:kern w:val="0"/>
          <w:sz w:val="32"/>
          <w:szCs w:val="28"/>
        </w:rPr>
        <w:t>社团</w:t>
      </w:r>
      <w:r>
        <w:rPr>
          <w:rFonts w:hint="eastAsia" w:ascii="Times New Roman" w:hAnsi="Times New Roman" w:eastAsia="仿宋_GB2312" w:cs="宋体"/>
          <w:kern w:val="0"/>
          <w:sz w:val="32"/>
          <w:szCs w:val="28"/>
        </w:rPr>
        <w:t>负责人</w:t>
      </w:r>
      <w:r>
        <w:rPr>
          <w:rFonts w:ascii="Times New Roman" w:hAnsi="Times New Roman" w:eastAsia="仿宋_GB2312" w:cs="宋体"/>
          <w:kern w:val="0"/>
          <w:sz w:val="32"/>
          <w:szCs w:val="28"/>
        </w:rPr>
        <w:t>加0-2分，</w:t>
      </w:r>
      <w:r>
        <w:rPr>
          <w:rFonts w:hint="eastAsia" w:ascii="Times New Roman" w:hAnsi="Times New Roman" w:eastAsia="仿宋_GB2312" w:cs="宋体"/>
          <w:kern w:val="0"/>
          <w:sz w:val="32"/>
          <w:szCs w:val="28"/>
        </w:rPr>
        <w:t>其他成员</w:t>
      </w:r>
      <w:r>
        <w:rPr>
          <w:rFonts w:ascii="Times New Roman" w:hAnsi="Times New Roman" w:eastAsia="仿宋_GB2312" w:cs="宋体"/>
          <w:kern w:val="0"/>
          <w:sz w:val="32"/>
          <w:szCs w:val="28"/>
        </w:rPr>
        <w:t>不加分。</w:t>
      </w:r>
      <w:r>
        <w:rPr>
          <w:rFonts w:hint="eastAsia" w:ascii="Times New Roman" w:hAnsi="Times New Roman" w:eastAsia="仿宋_GB2312" w:cs="宋体"/>
          <w:kern w:val="0"/>
          <w:sz w:val="32"/>
          <w:szCs w:val="28"/>
        </w:rPr>
        <w:t>兴趣小组不加分</w:t>
      </w:r>
      <w:r>
        <w:rPr>
          <w:rFonts w:ascii="Times New Roman" w:hAnsi="Times New Roman" w:eastAsia="仿宋_GB2312" w:cs="宋体"/>
          <w:kern w:val="0"/>
          <w:sz w:val="32"/>
          <w:szCs w:val="28"/>
        </w:rPr>
        <w:t>。</w:t>
      </w:r>
    </w:p>
    <w:p w14:paraId="2C2023C5">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rPr>
        <w:t>（4）</w:t>
      </w:r>
      <w:r>
        <w:rPr>
          <w:rFonts w:ascii="Times New Roman" w:hAnsi="Times New Roman" w:eastAsia="仿宋_GB2312" w:cs="宋体"/>
          <w:kern w:val="0"/>
          <w:sz w:val="32"/>
          <w:szCs w:val="28"/>
        </w:rPr>
        <w:t>各社团提交的加分表</w:t>
      </w:r>
      <w:r>
        <w:rPr>
          <w:rFonts w:hint="eastAsia" w:ascii="Times New Roman" w:hAnsi="Times New Roman" w:eastAsia="仿宋_GB2312" w:cs="宋体"/>
          <w:kern w:val="0"/>
          <w:sz w:val="32"/>
          <w:szCs w:val="28"/>
        </w:rPr>
        <w:t>均需负责部门负责老师认定，并</w:t>
      </w:r>
      <w:r>
        <w:rPr>
          <w:rFonts w:ascii="Times New Roman" w:hAnsi="Times New Roman" w:eastAsia="仿宋_GB2312" w:cs="宋体"/>
          <w:kern w:val="0"/>
          <w:sz w:val="32"/>
          <w:szCs w:val="28"/>
        </w:rPr>
        <w:t>应是对社团成员过去一年工作的准确评价，因此成员内部之间的加分情况要有差异。任何部门、社团提供的加分表，如果主席之间、部长之间、部委之间没有差异，学院不予采纳。</w:t>
      </w:r>
    </w:p>
    <w:p w14:paraId="6808F642">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rPr>
        <w:t>（5）班干部加分标准：班长、团支部书记、学生助管干部加0-6分；其他班委加0-4分；单元长加0-3分；宿舍长加0-</w:t>
      </w:r>
      <w:r>
        <w:rPr>
          <w:rFonts w:ascii="Times New Roman" w:hAnsi="Times New Roman" w:eastAsia="仿宋_GB2312" w:cs="宋体"/>
          <w:kern w:val="0"/>
          <w:sz w:val="32"/>
          <w:szCs w:val="28"/>
        </w:rPr>
        <w:t>2</w:t>
      </w:r>
      <w:r>
        <w:rPr>
          <w:rFonts w:hint="eastAsia" w:ascii="Times New Roman" w:hAnsi="Times New Roman" w:eastAsia="仿宋_GB2312" w:cs="宋体"/>
          <w:kern w:val="0"/>
          <w:sz w:val="32"/>
          <w:szCs w:val="28"/>
        </w:rPr>
        <w:t>分。</w:t>
      </w:r>
    </w:p>
    <w:p w14:paraId="3ADC3CEF">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r>
        <w:rPr>
          <w:rFonts w:ascii="Times New Roman" w:hAnsi="Times New Roman" w:eastAsia="仿宋_GB2312" w:cs="宋体"/>
          <w:kern w:val="0"/>
          <w:sz w:val="32"/>
          <w:szCs w:val="28"/>
        </w:rPr>
        <w:t>3.以演员身份参加元旦晚会、毕业生晚会、迎新晚会</w:t>
      </w:r>
      <w:r>
        <w:rPr>
          <w:rFonts w:hint="eastAsia" w:ascii="Times New Roman" w:hAnsi="Times New Roman" w:eastAsia="仿宋_GB2312" w:cs="宋体"/>
          <w:kern w:val="0"/>
          <w:sz w:val="32"/>
          <w:szCs w:val="28"/>
        </w:rPr>
        <w:t>、网络文化节</w:t>
      </w:r>
      <w:r>
        <w:rPr>
          <w:rFonts w:ascii="Times New Roman" w:hAnsi="Times New Roman" w:eastAsia="仿宋_GB2312" w:cs="宋体"/>
          <w:kern w:val="0"/>
          <w:sz w:val="32"/>
          <w:szCs w:val="28"/>
        </w:rPr>
        <w:t>等文艺晚会的，一场</w:t>
      </w:r>
      <w:r>
        <w:rPr>
          <w:rFonts w:hint="eastAsia" w:ascii="Times New Roman" w:hAnsi="Times New Roman" w:eastAsia="仿宋_GB2312" w:cs="宋体"/>
          <w:kern w:val="0"/>
          <w:sz w:val="32"/>
          <w:szCs w:val="28"/>
        </w:rPr>
        <w:t>活动</w:t>
      </w:r>
      <w:r>
        <w:rPr>
          <w:rFonts w:ascii="Times New Roman" w:hAnsi="Times New Roman" w:eastAsia="仿宋_GB2312" w:cs="宋体"/>
          <w:kern w:val="0"/>
          <w:sz w:val="32"/>
          <w:szCs w:val="28"/>
        </w:rPr>
        <w:t>加0.5分。参加</w:t>
      </w:r>
      <w:r>
        <w:rPr>
          <w:rFonts w:hint="eastAsia" w:ascii="Times New Roman" w:hAnsi="Times New Roman" w:eastAsia="仿宋_GB2312" w:cs="宋体"/>
          <w:kern w:val="0"/>
          <w:sz w:val="32"/>
          <w:szCs w:val="28"/>
        </w:rPr>
        <w:t>校区暑期社会实践成果答辩评比、“五个一”系列</w:t>
      </w:r>
      <w:r>
        <w:rPr>
          <w:rFonts w:ascii="Times New Roman" w:hAnsi="Times New Roman" w:eastAsia="仿宋_GB2312" w:cs="宋体"/>
          <w:kern w:val="0"/>
          <w:sz w:val="32"/>
          <w:szCs w:val="28"/>
        </w:rPr>
        <w:t>活动</w:t>
      </w:r>
      <w:r>
        <w:rPr>
          <w:rFonts w:hint="eastAsia" w:ascii="Times New Roman" w:hAnsi="Times New Roman" w:eastAsia="仿宋_GB2312" w:cs="宋体"/>
          <w:kern w:val="0"/>
          <w:sz w:val="32"/>
          <w:szCs w:val="28"/>
        </w:rPr>
        <w:t>、“五月的鲜花”</w:t>
      </w:r>
      <w:r>
        <w:rPr>
          <w:rFonts w:ascii="Times New Roman" w:hAnsi="Times New Roman" w:eastAsia="仿宋_GB2312" w:cs="宋体"/>
          <w:kern w:val="0"/>
          <w:sz w:val="32"/>
          <w:szCs w:val="28"/>
        </w:rPr>
        <w:t>歌咏比赛</w:t>
      </w:r>
      <w:r>
        <w:rPr>
          <w:rFonts w:hint="eastAsia" w:ascii="Times New Roman" w:hAnsi="Times New Roman" w:eastAsia="仿宋_GB2312" w:cs="宋体"/>
          <w:kern w:val="0"/>
          <w:sz w:val="32"/>
          <w:szCs w:val="28"/>
        </w:rPr>
        <w:t>、环湖跑比赛、石大最强音“校园歌手大赛”、克拉玛依博物馆演讲比赛、</w:t>
      </w:r>
      <w:r>
        <w:rPr>
          <w:rFonts w:ascii="Times New Roman" w:hAnsi="Times New Roman" w:eastAsia="仿宋_GB2312" w:cs="宋体"/>
          <w:kern w:val="0"/>
          <w:sz w:val="32"/>
          <w:szCs w:val="28"/>
        </w:rPr>
        <w:t>社团</w:t>
      </w:r>
      <w:r>
        <w:rPr>
          <w:rFonts w:hint="eastAsia" w:ascii="Times New Roman" w:hAnsi="Times New Roman" w:eastAsia="仿宋_GB2312" w:cs="宋体"/>
          <w:kern w:val="0"/>
          <w:sz w:val="32"/>
          <w:szCs w:val="28"/>
        </w:rPr>
        <w:t>文化节、校区校史校情知识竞赛等</w:t>
      </w:r>
      <w:r>
        <w:rPr>
          <w:rFonts w:hint="eastAsia" w:ascii="Times New Roman" w:hAnsi="Times New Roman" w:eastAsia="仿宋_GB2312" w:cs="宋体"/>
          <w:color w:val="FF0000"/>
          <w:kern w:val="0"/>
          <w:sz w:val="32"/>
          <w:szCs w:val="28"/>
        </w:rPr>
        <w:t>校级及以上比赛获奖的：一等奖加</w:t>
      </w:r>
      <w:r>
        <w:rPr>
          <w:rFonts w:ascii="Times New Roman" w:hAnsi="Times New Roman" w:eastAsia="仿宋_GB2312" w:cs="宋体"/>
          <w:color w:val="FF0000"/>
          <w:kern w:val="0"/>
          <w:sz w:val="32"/>
          <w:szCs w:val="28"/>
        </w:rPr>
        <w:t>1分</w:t>
      </w:r>
      <w:r>
        <w:rPr>
          <w:rFonts w:hint="eastAsia" w:ascii="Times New Roman" w:hAnsi="Times New Roman" w:eastAsia="仿宋_GB2312" w:cs="宋体"/>
          <w:color w:val="FF0000"/>
          <w:kern w:val="0"/>
          <w:sz w:val="32"/>
          <w:szCs w:val="28"/>
        </w:rPr>
        <w:t>，二等奖加0.8分，三等奖加0.5分，优秀奖加0.3分</w:t>
      </w:r>
      <w:r>
        <w:rPr>
          <w:rFonts w:hint="eastAsia" w:ascii="Times New Roman" w:hAnsi="Times New Roman" w:eastAsia="仿宋_GB2312" w:cs="宋体"/>
          <w:kern w:val="0"/>
          <w:sz w:val="32"/>
          <w:szCs w:val="28"/>
        </w:rPr>
        <w:t>；参加</w:t>
      </w:r>
      <w:r>
        <w:rPr>
          <w:rFonts w:ascii="Times New Roman" w:hAnsi="Times New Roman" w:eastAsia="仿宋_GB2312" w:cs="宋体"/>
          <w:kern w:val="0"/>
          <w:sz w:val="32"/>
          <w:szCs w:val="28"/>
        </w:rPr>
        <w:t>辩论赛、知识竞赛</w:t>
      </w:r>
      <w:r>
        <w:rPr>
          <w:rFonts w:hint="eastAsia" w:ascii="Times New Roman" w:hAnsi="Times New Roman" w:eastAsia="仿宋_GB2312" w:cs="宋体"/>
          <w:kern w:val="0"/>
          <w:sz w:val="32"/>
          <w:szCs w:val="28"/>
        </w:rPr>
        <w:t>、书法大赛、文明宿舍评比、朗诵比赛、宿舍文化节、</w:t>
      </w:r>
      <w:r>
        <w:rPr>
          <w:rFonts w:ascii="Times New Roman" w:hAnsi="Times New Roman" w:eastAsia="仿宋_GB2312" w:cs="宋体"/>
          <w:kern w:val="0"/>
          <w:sz w:val="32"/>
          <w:szCs w:val="28"/>
        </w:rPr>
        <w:t>作业评比</w:t>
      </w:r>
      <w:r>
        <w:rPr>
          <w:rFonts w:hint="eastAsia" w:ascii="Times New Roman" w:hAnsi="Times New Roman" w:eastAsia="仿宋_GB2312" w:cs="宋体"/>
          <w:kern w:val="0"/>
          <w:sz w:val="32"/>
          <w:szCs w:val="28"/>
        </w:rPr>
        <w:t>等</w:t>
      </w:r>
      <w:r>
        <w:rPr>
          <w:rFonts w:hint="eastAsia" w:ascii="Times New Roman" w:hAnsi="Times New Roman" w:eastAsia="仿宋_GB2312" w:cs="宋体"/>
          <w:color w:val="FF0000"/>
          <w:kern w:val="0"/>
          <w:sz w:val="32"/>
          <w:szCs w:val="28"/>
        </w:rPr>
        <w:t>院级比赛获奖的：一等奖加</w:t>
      </w:r>
      <w:r>
        <w:rPr>
          <w:rFonts w:ascii="Times New Roman" w:hAnsi="Times New Roman" w:eastAsia="仿宋_GB2312" w:cs="宋体"/>
          <w:color w:val="FF0000"/>
          <w:kern w:val="0"/>
          <w:sz w:val="32"/>
          <w:szCs w:val="28"/>
        </w:rPr>
        <w:t>0.8分</w:t>
      </w:r>
      <w:r>
        <w:rPr>
          <w:rFonts w:hint="eastAsia" w:ascii="Times New Roman" w:hAnsi="Times New Roman" w:eastAsia="仿宋_GB2312" w:cs="宋体"/>
          <w:color w:val="FF0000"/>
          <w:kern w:val="0"/>
          <w:sz w:val="32"/>
          <w:szCs w:val="28"/>
        </w:rPr>
        <w:t>，二等奖加0.</w:t>
      </w:r>
      <w:r>
        <w:rPr>
          <w:rFonts w:ascii="Times New Roman" w:hAnsi="Times New Roman" w:eastAsia="仿宋_GB2312" w:cs="宋体"/>
          <w:color w:val="FF0000"/>
          <w:kern w:val="0"/>
          <w:sz w:val="32"/>
          <w:szCs w:val="28"/>
        </w:rPr>
        <w:t>5</w:t>
      </w:r>
      <w:r>
        <w:rPr>
          <w:rFonts w:hint="eastAsia" w:ascii="Times New Roman" w:hAnsi="Times New Roman" w:eastAsia="仿宋_GB2312" w:cs="宋体"/>
          <w:color w:val="FF0000"/>
          <w:kern w:val="0"/>
          <w:sz w:val="32"/>
          <w:szCs w:val="28"/>
        </w:rPr>
        <w:t>分，三等奖加0.</w:t>
      </w:r>
      <w:r>
        <w:rPr>
          <w:rFonts w:ascii="Times New Roman" w:hAnsi="Times New Roman" w:eastAsia="仿宋_GB2312" w:cs="宋体"/>
          <w:color w:val="FF0000"/>
          <w:kern w:val="0"/>
          <w:sz w:val="32"/>
          <w:szCs w:val="28"/>
        </w:rPr>
        <w:t>3</w:t>
      </w:r>
      <w:r>
        <w:rPr>
          <w:rFonts w:hint="eastAsia" w:ascii="Times New Roman" w:hAnsi="Times New Roman" w:eastAsia="仿宋_GB2312" w:cs="宋体"/>
          <w:color w:val="FF0000"/>
          <w:kern w:val="0"/>
          <w:sz w:val="32"/>
          <w:szCs w:val="28"/>
        </w:rPr>
        <w:t>分，优秀奖加0.1分。</w:t>
      </w:r>
      <w:r>
        <w:rPr>
          <w:rFonts w:ascii="Times New Roman" w:hAnsi="Times New Roman" w:eastAsia="仿宋_GB2312" w:cs="宋体"/>
          <w:b/>
          <w:bCs/>
          <w:color w:val="FF0000"/>
          <w:kern w:val="0"/>
          <w:sz w:val="32"/>
          <w:szCs w:val="28"/>
        </w:rPr>
        <w:t>以上</w:t>
      </w:r>
      <w:r>
        <w:rPr>
          <w:rFonts w:hint="eastAsia" w:ascii="Times New Roman" w:hAnsi="Times New Roman" w:eastAsia="仿宋_GB2312" w:cs="宋体"/>
          <w:b/>
          <w:bCs/>
          <w:color w:val="FF0000"/>
          <w:kern w:val="0"/>
          <w:sz w:val="32"/>
          <w:szCs w:val="28"/>
        </w:rPr>
        <w:t>项目累计</w:t>
      </w:r>
      <w:r>
        <w:rPr>
          <w:rFonts w:ascii="Times New Roman" w:hAnsi="Times New Roman" w:eastAsia="仿宋_GB2312" w:cs="宋体"/>
          <w:b/>
          <w:bCs/>
          <w:color w:val="FF0000"/>
          <w:kern w:val="0"/>
          <w:sz w:val="32"/>
          <w:szCs w:val="28"/>
        </w:rPr>
        <w:t>最多加2分</w:t>
      </w:r>
      <w:r>
        <w:rPr>
          <w:rFonts w:ascii="Times New Roman" w:hAnsi="Times New Roman" w:eastAsia="仿宋_GB2312" w:cs="宋体"/>
          <w:kern w:val="0"/>
          <w:sz w:val="32"/>
          <w:szCs w:val="28"/>
        </w:rPr>
        <w:t>。</w:t>
      </w:r>
      <w:r>
        <w:rPr>
          <w:rFonts w:hint="eastAsia" w:ascii="Times New Roman" w:hAnsi="Times New Roman" w:eastAsia="仿宋_GB2312" w:cs="宋体"/>
          <w:kern w:val="0"/>
          <w:sz w:val="32"/>
          <w:szCs w:val="28"/>
        </w:rPr>
        <w:t>列举项目按实际情况归属为校级或院级。有为校争得荣誉特殊项目的情况由学院审议确定具体加分数值。</w:t>
      </w:r>
    </w:p>
    <w:p w14:paraId="2E1A7970">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r>
        <w:rPr>
          <w:rFonts w:ascii="Times New Roman" w:hAnsi="Times New Roman" w:eastAsia="仿宋_GB2312" w:cs="宋体"/>
          <w:kern w:val="0"/>
          <w:sz w:val="32"/>
          <w:szCs w:val="28"/>
        </w:rPr>
        <w:t>4.学年内志愿服务时间</w:t>
      </w:r>
      <w:r>
        <w:rPr>
          <w:rFonts w:hint="eastAsia" w:ascii="Times New Roman" w:hAnsi="Times New Roman" w:eastAsia="仿宋_GB2312" w:cs="宋体"/>
          <w:kern w:val="0"/>
          <w:sz w:val="32"/>
          <w:szCs w:val="28"/>
        </w:rPr>
        <w:t>不足2</w:t>
      </w:r>
      <w:r>
        <w:rPr>
          <w:rFonts w:ascii="Times New Roman" w:hAnsi="Times New Roman" w:eastAsia="仿宋_GB2312" w:cs="宋体"/>
          <w:kern w:val="0"/>
          <w:sz w:val="32"/>
          <w:szCs w:val="28"/>
        </w:rPr>
        <w:t>0</w:t>
      </w:r>
      <w:r>
        <w:rPr>
          <w:rFonts w:hint="eastAsia" w:ascii="Times New Roman" w:hAnsi="Times New Roman" w:eastAsia="仿宋_GB2312" w:cs="宋体"/>
          <w:kern w:val="0"/>
          <w:sz w:val="32"/>
          <w:szCs w:val="28"/>
        </w:rPr>
        <w:t>小时的不加分；</w:t>
      </w:r>
      <w:r>
        <w:rPr>
          <w:rFonts w:ascii="Times New Roman" w:hAnsi="Times New Roman" w:eastAsia="仿宋_GB2312" w:cs="宋体"/>
          <w:kern w:val="0"/>
          <w:sz w:val="32"/>
          <w:szCs w:val="28"/>
        </w:rPr>
        <w:t>达到20小时的，加2分；达到30小时的，加3分；40小时</w:t>
      </w:r>
      <w:r>
        <w:rPr>
          <w:rFonts w:hint="eastAsia" w:ascii="Times New Roman" w:hAnsi="Times New Roman" w:eastAsia="仿宋_GB2312" w:cs="宋体"/>
          <w:kern w:val="0"/>
          <w:sz w:val="32"/>
          <w:szCs w:val="28"/>
        </w:rPr>
        <w:t>及</w:t>
      </w:r>
      <w:r>
        <w:rPr>
          <w:rFonts w:ascii="Times New Roman" w:hAnsi="Times New Roman" w:eastAsia="仿宋_GB2312" w:cs="宋体"/>
          <w:kern w:val="0"/>
          <w:sz w:val="32"/>
          <w:szCs w:val="28"/>
        </w:rPr>
        <w:t>以上的加4分。志愿者服务时间由</w:t>
      </w:r>
      <w:r>
        <w:rPr>
          <w:rFonts w:hint="eastAsia" w:ascii="Times New Roman" w:hAnsi="Times New Roman" w:eastAsia="仿宋_GB2312" w:cs="宋体"/>
          <w:kern w:val="0"/>
          <w:sz w:val="32"/>
          <w:szCs w:val="28"/>
        </w:rPr>
        <w:t>学</w:t>
      </w:r>
      <w:r>
        <w:rPr>
          <w:rFonts w:ascii="Times New Roman" w:hAnsi="Times New Roman" w:eastAsia="仿宋_GB2312" w:cs="宋体"/>
          <w:kern w:val="0"/>
          <w:sz w:val="32"/>
          <w:szCs w:val="28"/>
        </w:rPr>
        <w:t>院</w:t>
      </w:r>
      <w:r>
        <w:rPr>
          <w:rFonts w:hint="eastAsia" w:ascii="Times New Roman" w:hAnsi="Times New Roman" w:eastAsia="仿宋_GB2312" w:cs="宋体"/>
          <w:kern w:val="0"/>
          <w:sz w:val="32"/>
          <w:szCs w:val="28"/>
        </w:rPr>
        <w:t>青年志愿者协会</w:t>
      </w:r>
      <w:r>
        <w:rPr>
          <w:rFonts w:ascii="Times New Roman" w:hAnsi="Times New Roman" w:eastAsia="仿宋_GB2312" w:cs="宋体"/>
          <w:kern w:val="0"/>
          <w:sz w:val="32"/>
          <w:szCs w:val="28"/>
        </w:rPr>
        <w:t>负责统计。志愿者荣誉称号不加分。</w:t>
      </w:r>
    </w:p>
    <w:p w14:paraId="5D3A884E">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lang w:val="en-US" w:eastAsia="zh-CN"/>
        </w:rPr>
        <w:t>5</w:t>
      </w:r>
      <w:r>
        <w:rPr>
          <w:rFonts w:ascii="Times New Roman" w:hAnsi="Times New Roman" w:eastAsia="仿宋_GB2312" w:cs="宋体"/>
          <w:kern w:val="0"/>
          <w:sz w:val="32"/>
          <w:szCs w:val="28"/>
        </w:rPr>
        <w:t>.</w:t>
      </w:r>
      <w:r>
        <w:rPr>
          <w:rFonts w:hint="eastAsia" w:ascii="Times New Roman" w:hAnsi="Times New Roman" w:eastAsia="仿宋_GB2312" w:cs="宋体"/>
          <w:kern w:val="0"/>
          <w:sz w:val="32"/>
          <w:szCs w:val="28"/>
        </w:rPr>
        <w:t>本科生</w:t>
      </w:r>
      <w:r>
        <w:rPr>
          <w:rFonts w:ascii="Times New Roman" w:hAnsi="Times New Roman" w:eastAsia="仿宋_GB2312" w:cs="宋体"/>
          <w:kern w:val="0"/>
          <w:sz w:val="32"/>
          <w:szCs w:val="28"/>
        </w:rPr>
        <w:t>参加</w:t>
      </w:r>
      <w:r>
        <w:rPr>
          <w:rFonts w:hint="eastAsia" w:ascii="Times New Roman" w:hAnsi="Times New Roman" w:eastAsia="仿宋_GB2312" w:cs="宋体"/>
          <w:kern w:val="0"/>
          <w:sz w:val="32"/>
          <w:szCs w:val="28"/>
        </w:rPr>
        <w:t>大学生创新创业训练计划</w:t>
      </w:r>
      <w:r>
        <w:rPr>
          <w:rFonts w:ascii="Times New Roman" w:hAnsi="Times New Roman" w:eastAsia="仿宋_GB2312" w:cs="宋体"/>
          <w:kern w:val="0"/>
          <w:sz w:val="32"/>
          <w:szCs w:val="28"/>
        </w:rPr>
        <w:t>结题获得校一等奖、二等奖、三等奖，团队负责人分别加5分、4分、2分，团队成员分别加4分、3分、1分，未得奖但能按时结题的负责人及团队成员均加0.5分。未通过中期检查或者未能结题的项目，</w:t>
      </w:r>
      <w:r>
        <w:rPr>
          <w:rFonts w:hint="eastAsia" w:ascii="Times New Roman" w:hAnsi="Times New Roman" w:eastAsia="仿宋_GB2312" w:cs="宋体"/>
          <w:kern w:val="0"/>
          <w:sz w:val="32"/>
          <w:szCs w:val="28"/>
        </w:rPr>
        <w:t>所有成员</w:t>
      </w:r>
      <w:r>
        <w:rPr>
          <w:rFonts w:ascii="Times New Roman" w:hAnsi="Times New Roman" w:eastAsia="仿宋_GB2312" w:cs="宋体"/>
          <w:kern w:val="0"/>
          <w:sz w:val="32"/>
          <w:szCs w:val="28"/>
        </w:rPr>
        <w:t>扣5分。</w:t>
      </w:r>
    </w:p>
    <w:p w14:paraId="298BF46D">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lang w:val="en-US" w:eastAsia="zh-CN"/>
        </w:rPr>
        <w:t>6</w:t>
      </w:r>
      <w:r>
        <w:rPr>
          <w:rFonts w:ascii="Times New Roman" w:hAnsi="Times New Roman" w:eastAsia="仿宋_GB2312" w:cs="宋体"/>
          <w:kern w:val="0"/>
          <w:sz w:val="32"/>
          <w:szCs w:val="28"/>
        </w:rPr>
        <w:t>.</w:t>
      </w:r>
      <w:r>
        <w:rPr>
          <w:rFonts w:hint="eastAsia" w:ascii="Times New Roman" w:hAnsi="Times New Roman" w:eastAsia="仿宋_GB2312" w:cs="宋体"/>
          <w:kern w:val="0"/>
          <w:sz w:val="32"/>
          <w:szCs w:val="28"/>
        </w:rPr>
        <w:t>通报批评扣</w:t>
      </w:r>
      <w:r>
        <w:rPr>
          <w:rFonts w:ascii="Times New Roman" w:hAnsi="Times New Roman" w:eastAsia="仿宋_GB2312" w:cs="宋体"/>
          <w:kern w:val="0"/>
          <w:sz w:val="32"/>
          <w:szCs w:val="28"/>
        </w:rPr>
        <w:t>10分；警告处分扣15分；严重警告处分扣25分；记过处分扣35分；受留校察看处分期间扣55分；</w:t>
      </w:r>
      <w:r>
        <w:rPr>
          <w:rFonts w:hint="eastAsia" w:ascii="Times New Roman" w:hAnsi="Times New Roman" w:eastAsia="仿宋_GB2312" w:cs="宋体"/>
          <w:kern w:val="0"/>
          <w:sz w:val="32"/>
          <w:szCs w:val="28"/>
        </w:rPr>
        <w:t>因违反有关规定受到有关部门批评教育者（有通知备案的），每次扣</w:t>
      </w:r>
      <w:r>
        <w:rPr>
          <w:rFonts w:ascii="Times New Roman" w:hAnsi="Times New Roman" w:eastAsia="仿宋_GB2312" w:cs="宋体"/>
          <w:kern w:val="0"/>
          <w:sz w:val="32"/>
          <w:szCs w:val="28"/>
        </w:rPr>
        <w:t>3</w:t>
      </w:r>
      <w:r>
        <w:rPr>
          <w:rFonts w:hint="eastAsia" w:ascii="Times New Roman" w:hAnsi="Times New Roman" w:eastAsia="仿宋_GB2312" w:cs="宋体"/>
          <w:kern w:val="0"/>
          <w:sz w:val="32"/>
          <w:szCs w:val="28"/>
        </w:rPr>
        <w:t>-</w:t>
      </w:r>
      <w:r>
        <w:rPr>
          <w:rFonts w:ascii="Times New Roman" w:hAnsi="Times New Roman" w:eastAsia="仿宋_GB2312" w:cs="宋体"/>
          <w:kern w:val="0"/>
          <w:sz w:val="32"/>
          <w:szCs w:val="28"/>
        </w:rPr>
        <w:t>5分</w:t>
      </w:r>
      <w:r>
        <w:rPr>
          <w:rFonts w:hint="eastAsia" w:ascii="Times New Roman" w:hAnsi="Times New Roman" w:eastAsia="仿宋_GB2312" w:cs="宋体"/>
          <w:kern w:val="0"/>
          <w:sz w:val="32"/>
          <w:szCs w:val="28"/>
        </w:rPr>
        <w:t>。</w:t>
      </w:r>
    </w:p>
    <w:p w14:paraId="792CB623">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lang w:val="en-US" w:eastAsia="zh-CN"/>
        </w:rPr>
        <w:t>7</w:t>
      </w:r>
      <w:r>
        <w:rPr>
          <w:rFonts w:hint="eastAsia" w:ascii="Times New Roman" w:hAnsi="Times New Roman" w:eastAsia="仿宋_GB2312" w:cs="宋体"/>
          <w:kern w:val="0"/>
          <w:sz w:val="32"/>
          <w:szCs w:val="28"/>
        </w:rPr>
        <w:t>.旷课</w:t>
      </w:r>
      <w:r>
        <w:rPr>
          <w:rFonts w:ascii="Times New Roman" w:hAnsi="Times New Roman" w:eastAsia="仿宋_GB2312" w:cs="宋体"/>
          <w:kern w:val="0"/>
          <w:sz w:val="32"/>
          <w:szCs w:val="28"/>
        </w:rPr>
        <w:t>、</w:t>
      </w:r>
      <w:r>
        <w:rPr>
          <w:rFonts w:hint="eastAsia" w:ascii="Times New Roman" w:hAnsi="Times New Roman" w:eastAsia="仿宋_GB2312" w:cs="宋体"/>
          <w:kern w:val="0"/>
          <w:sz w:val="32"/>
          <w:szCs w:val="28"/>
        </w:rPr>
        <w:t>旷早晚自习（早操）者，每次扣</w:t>
      </w:r>
      <w:r>
        <w:rPr>
          <w:rFonts w:ascii="Times New Roman" w:hAnsi="Times New Roman" w:eastAsia="仿宋_GB2312" w:cs="宋体"/>
          <w:kern w:val="0"/>
          <w:sz w:val="32"/>
          <w:szCs w:val="28"/>
        </w:rPr>
        <w:t>1</w:t>
      </w:r>
      <w:r>
        <w:rPr>
          <w:rFonts w:hint="eastAsia" w:ascii="Times New Roman" w:hAnsi="Times New Roman" w:eastAsia="仿宋_GB2312" w:cs="宋体"/>
          <w:kern w:val="0"/>
          <w:sz w:val="32"/>
          <w:szCs w:val="28"/>
        </w:rPr>
        <w:t>分；迟到、早退者，每次扣0.5分。</w:t>
      </w:r>
    </w:p>
    <w:p w14:paraId="435453ED">
      <w:pPr>
        <w:pStyle w:val="8"/>
        <w:keepNext w:val="0"/>
        <w:keepLines w:val="0"/>
        <w:pageBreakBefore w:val="0"/>
        <w:widowControl/>
        <w:numPr>
          <w:ilvl w:val="0"/>
          <w:numId w:val="1"/>
        </w:numPr>
        <w:kinsoku/>
        <w:wordWrap/>
        <w:overflowPunct/>
        <w:topLinePunct w:val="0"/>
        <w:autoSpaceDE/>
        <w:autoSpaceDN/>
        <w:bidi w:val="0"/>
        <w:spacing w:line="560" w:lineRule="exact"/>
        <w:ind w:left="0" w:firstLine="560"/>
        <w:jc w:val="left"/>
        <w:textAlignment w:val="auto"/>
        <w:rPr>
          <w:rFonts w:hint="eastAsia" w:ascii="楷体_GB2312" w:hAnsi="楷体_GB2312" w:eastAsia="楷体_GB2312" w:cs="楷体_GB2312"/>
          <w:kern w:val="0"/>
          <w:sz w:val="32"/>
          <w:szCs w:val="28"/>
        </w:rPr>
      </w:pPr>
      <w:r>
        <w:rPr>
          <w:rFonts w:hint="eastAsia" w:ascii="楷体_GB2312" w:hAnsi="楷体_GB2312" w:eastAsia="楷体_GB2312" w:cs="楷体_GB2312"/>
          <w:kern w:val="0"/>
          <w:sz w:val="32"/>
          <w:szCs w:val="28"/>
        </w:rPr>
        <w:t>智育部分</w:t>
      </w:r>
    </w:p>
    <w:p w14:paraId="7D95259F">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rPr>
        <w:t>1</w:t>
      </w:r>
      <w:r>
        <w:rPr>
          <w:rFonts w:ascii="Times New Roman" w:hAnsi="Times New Roman" w:eastAsia="仿宋_GB2312" w:cs="宋体"/>
          <w:kern w:val="0"/>
          <w:sz w:val="32"/>
          <w:szCs w:val="28"/>
        </w:rPr>
        <w:t>.</w:t>
      </w:r>
      <w:r>
        <w:rPr>
          <w:rFonts w:hint="eastAsia" w:ascii="Times New Roman" w:hAnsi="Times New Roman" w:eastAsia="仿宋_GB2312" w:cs="宋体"/>
          <w:kern w:val="0"/>
          <w:sz w:val="32"/>
          <w:szCs w:val="28"/>
        </w:rPr>
        <w:t>学生应按要求修读当学年学分，修读必修课学分至少达到当学年要求学分的7</w:t>
      </w:r>
      <w:r>
        <w:rPr>
          <w:rFonts w:ascii="Times New Roman" w:hAnsi="Times New Roman" w:eastAsia="仿宋_GB2312" w:cs="宋体"/>
          <w:kern w:val="0"/>
          <w:sz w:val="32"/>
          <w:szCs w:val="28"/>
        </w:rPr>
        <w:t>0</w:t>
      </w:r>
      <w:r>
        <w:rPr>
          <w:rFonts w:hint="eastAsia" w:ascii="Times New Roman" w:hAnsi="Times New Roman" w:eastAsia="仿宋_GB2312" w:cs="宋体"/>
          <w:kern w:val="0"/>
          <w:sz w:val="32"/>
          <w:szCs w:val="28"/>
        </w:rPr>
        <w:t>%者方可参与当学年综合测评评定。出国、交流等特殊情况由学院综合测评领导小组单独审议。</w:t>
      </w:r>
    </w:p>
    <w:p w14:paraId="152484A4">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rPr>
        <w:t>2</w:t>
      </w:r>
      <w:r>
        <w:rPr>
          <w:rFonts w:ascii="Times New Roman" w:hAnsi="Times New Roman" w:eastAsia="仿宋_GB2312" w:cs="宋体"/>
          <w:kern w:val="0"/>
          <w:sz w:val="32"/>
          <w:szCs w:val="28"/>
        </w:rPr>
        <w:t>.</w:t>
      </w:r>
      <w:r>
        <w:rPr>
          <w:rFonts w:hint="eastAsia" w:ascii="Times New Roman" w:hAnsi="Times New Roman" w:eastAsia="仿宋_GB2312" w:cs="宋体"/>
          <w:kern w:val="0"/>
          <w:sz w:val="32"/>
          <w:szCs w:val="28"/>
        </w:rPr>
        <w:t>课程学习成绩部分，考试不及格有补考成绩的，按照不及格原始成绩计算；免修课程成绩按照9</w:t>
      </w:r>
      <w:r>
        <w:rPr>
          <w:rFonts w:ascii="Times New Roman" w:hAnsi="Times New Roman" w:eastAsia="仿宋_GB2312" w:cs="宋体"/>
          <w:kern w:val="0"/>
          <w:sz w:val="32"/>
          <w:szCs w:val="28"/>
        </w:rPr>
        <w:t>0</w:t>
      </w:r>
      <w:r>
        <w:rPr>
          <w:rFonts w:hint="eastAsia" w:ascii="Times New Roman" w:hAnsi="Times New Roman" w:eastAsia="仿宋_GB2312" w:cs="宋体"/>
          <w:kern w:val="0"/>
          <w:sz w:val="32"/>
          <w:szCs w:val="28"/>
        </w:rPr>
        <w:t>分计算；两分制成绩不计入综合测评；重修课程不计入综合测评。</w:t>
      </w:r>
    </w:p>
    <w:p w14:paraId="35013D61">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r>
        <w:rPr>
          <w:rFonts w:ascii="Times New Roman" w:hAnsi="Times New Roman" w:eastAsia="仿宋_GB2312" w:cs="宋体"/>
          <w:kern w:val="0"/>
          <w:sz w:val="32"/>
          <w:szCs w:val="28"/>
        </w:rPr>
        <w:t>3.</w:t>
      </w:r>
      <w:r>
        <w:rPr>
          <w:rFonts w:hint="eastAsia" w:ascii="Times New Roman" w:hAnsi="Times New Roman" w:eastAsia="仿宋_GB2312" w:cs="宋体"/>
          <w:kern w:val="0"/>
          <w:sz w:val="32"/>
          <w:szCs w:val="28"/>
        </w:rPr>
        <w:t>本科期间</w:t>
      </w:r>
      <w:r>
        <w:rPr>
          <w:rFonts w:ascii="Times New Roman" w:hAnsi="Times New Roman" w:eastAsia="仿宋_GB2312" w:cs="宋体"/>
          <w:kern w:val="0"/>
          <w:sz w:val="32"/>
          <w:szCs w:val="28"/>
        </w:rPr>
        <w:t>发表</w:t>
      </w:r>
      <w:bookmarkStart w:id="0" w:name="_Hlk117078871"/>
      <w:r>
        <w:rPr>
          <w:rFonts w:ascii="Times New Roman" w:hAnsi="Times New Roman" w:eastAsia="仿宋_GB2312" w:cs="宋体"/>
          <w:color w:val="FF0000"/>
          <w:kern w:val="0"/>
          <w:sz w:val="32"/>
          <w:szCs w:val="28"/>
        </w:rPr>
        <w:t>与本人所学专业有关</w:t>
      </w:r>
      <w:bookmarkEnd w:id="0"/>
      <w:r>
        <w:rPr>
          <w:rFonts w:ascii="Times New Roman" w:hAnsi="Times New Roman" w:eastAsia="仿宋_GB2312" w:cs="宋体"/>
          <w:color w:val="FF0000"/>
          <w:kern w:val="0"/>
          <w:sz w:val="32"/>
          <w:szCs w:val="28"/>
        </w:rPr>
        <w:t>的</w:t>
      </w:r>
      <w:r>
        <w:rPr>
          <w:rFonts w:ascii="Times New Roman" w:hAnsi="Times New Roman" w:eastAsia="仿宋_GB2312" w:cs="宋体"/>
          <w:kern w:val="0"/>
          <w:sz w:val="32"/>
          <w:szCs w:val="28"/>
        </w:rPr>
        <w:t>学术论文、获得专利授权，按如下规定加分：</w:t>
      </w:r>
    </w:p>
    <w:p w14:paraId="43A4268F">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p>
    <w:tbl>
      <w:tblPr>
        <w:tblStyle w:val="5"/>
        <w:tblW w:w="80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9"/>
        <w:gridCol w:w="1735"/>
        <w:gridCol w:w="1046"/>
        <w:gridCol w:w="1454"/>
        <w:gridCol w:w="1913"/>
      </w:tblGrid>
      <w:tr w14:paraId="5A47E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909" w:type="dxa"/>
            <w:tcBorders>
              <w:top w:val="single" w:color="auto" w:sz="4" w:space="0"/>
              <w:left w:val="single" w:color="auto" w:sz="4" w:space="0"/>
              <w:bottom w:val="single" w:color="auto" w:sz="4" w:space="0"/>
              <w:right w:val="single" w:color="auto" w:sz="4" w:space="0"/>
              <w:tl2br w:val="single" w:color="auto" w:sz="4" w:space="0"/>
            </w:tcBorders>
            <w:vAlign w:val="center"/>
          </w:tcPr>
          <w:p w14:paraId="0BD2FFB3">
            <w:pPr>
              <w:keepNext w:val="0"/>
              <w:keepLines w:val="0"/>
              <w:pageBreakBefore w:val="0"/>
              <w:kinsoku/>
              <w:wordWrap/>
              <w:overflowPunct/>
              <w:topLinePunct w:val="0"/>
              <w:autoSpaceDE/>
              <w:autoSpaceDN/>
              <w:bidi w:val="0"/>
              <w:spacing w:line="560" w:lineRule="exact"/>
              <w:ind w:firstLine="840" w:firstLineChars="300"/>
              <w:textAlignment w:val="auto"/>
              <w:rPr>
                <w:rFonts w:ascii="Times New Roman" w:hAnsi="Times New Roman" w:eastAsia="仿宋_GB2312"/>
                <w:sz w:val="28"/>
                <w:szCs w:val="28"/>
              </w:rPr>
            </w:pPr>
            <w:r>
              <w:rPr>
                <w:rFonts w:ascii="Times New Roman" w:hAnsi="Times New Roman" w:eastAsia="仿宋_GB2312"/>
                <w:sz w:val="28"/>
                <w:szCs w:val="28"/>
              </w:rPr>
              <w:t>分值</w:t>
            </w:r>
          </w:p>
          <w:p w14:paraId="38A81E44">
            <w:pPr>
              <w:keepNext w:val="0"/>
              <w:keepLines w:val="0"/>
              <w:pageBreakBefore w:val="0"/>
              <w:kinsoku/>
              <w:wordWrap/>
              <w:overflowPunct/>
              <w:topLinePunct w:val="0"/>
              <w:autoSpaceDE/>
              <w:autoSpaceDN/>
              <w:bidi w:val="0"/>
              <w:spacing w:line="560" w:lineRule="exact"/>
              <w:ind w:firstLine="280" w:firstLineChars="100"/>
              <w:textAlignment w:val="auto"/>
              <w:rPr>
                <w:rFonts w:ascii="Times New Roman" w:hAnsi="Times New Roman" w:eastAsia="仿宋_GB2312"/>
                <w:sz w:val="28"/>
                <w:szCs w:val="28"/>
              </w:rPr>
            </w:pPr>
            <w:r>
              <w:rPr>
                <w:rFonts w:ascii="Times New Roman" w:hAnsi="Times New Roman" w:eastAsia="仿宋_GB2312"/>
                <w:sz w:val="28"/>
                <w:szCs w:val="28"/>
              </w:rPr>
              <w:t>级别</w:t>
            </w:r>
          </w:p>
        </w:tc>
        <w:tc>
          <w:tcPr>
            <w:tcW w:w="1735" w:type="dxa"/>
            <w:tcBorders>
              <w:top w:val="single" w:color="auto" w:sz="4" w:space="0"/>
              <w:left w:val="single" w:color="auto" w:sz="4" w:space="0"/>
              <w:bottom w:val="single" w:color="auto" w:sz="4" w:space="0"/>
              <w:right w:val="single" w:color="auto" w:sz="4" w:space="0"/>
            </w:tcBorders>
            <w:vAlign w:val="center"/>
          </w:tcPr>
          <w:p w14:paraId="249DDEF0">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SCI、SSCI</w:t>
            </w:r>
          </w:p>
        </w:tc>
        <w:tc>
          <w:tcPr>
            <w:tcW w:w="1046" w:type="dxa"/>
            <w:tcBorders>
              <w:top w:val="single" w:color="auto" w:sz="4" w:space="0"/>
              <w:left w:val="single" w:color="auto" w:sz="4" w:space="0"/>
              <w:bottom w:val="single" w:color="auto" w:sz="4" w:space="0"/>
              <w:right w:val="single" w:color="auto" w:sz="4" w:space="0"/>
            </w:tcBorders>
            <w:vAlign w:val="center"/>
          </w:tcPr>
          <w:p w14:paraId="577E548F">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EI</w:t>
            </w:r>
          </w:p>
        </w:tc>
        <w:tc>
          <w:tcPr>
            <w:tcW w:w="1454" w:type="dxa"/>
            <w:tcBorders>
              <w:top w:val="single" w:color="auto" w:sz="4" w:space="0"/>
              <w:left w:val="single" w:color="auto" w:sz="4" w:space="0"/>
              <w:bottom w:val="single" w:color="auto" w:sz="4" w:space="0"/>
              <w:right w:val="single" w:color="auto" w:sz="4" w:space="0"/>
            </w:tcBorders>
            <w:vAlign w:val="center"/>
          </w:tcPr>
          <w:p w14:paraId="247ED4B5">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核心期刊</w:t>
            </w:r>
          </w:p>
        </w:tc>
        <w:tc>
          <w:tcPr>
            <w:tcW w:w="1913" w:type="dxa"/>
            <w:tcBorders>
              <w:top w:val="single" w:color="auto" w:sz="4" w:space="0"/>
              <w:left w:val="single" w:color="auto" w:sz="4" w:space="0"/>
              <w:bottom w:val="single" w:color="auto" w:sz="4" w:space="0"/>
              <w:right w:val="single" w:color="auto" w:sz="4" w:space="0"/>
            </w:tcBorders>
            <w:vAlign w:val="center"/>
          </w:tcPr>
          <w:p w14:paraId="30B2E6AB">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一般公开刊物</w:t>
            </w:r>
          </w:p>
        </w:tc>
      </w:tr>
      <w:tr w14:paraId="00243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14:paraId="13D44EAD">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第一作者</w:t>
            </w:r>
          </w:p>
        </w:tc>
        <w:tc>
          <w:tcPr>
            <w:tcW w:w="1735" w:type="dxa"/>
            <w:tcBorders>
              <w:top w:val="single" w:color="auto" w:sz="4" w:space="0"/>
              <w:left w:val="single" w:color="auto" w:sz="4" w:space="0"/>
              <w:bottom w:val="single" w:color="auto" w:sz="4" w:space="0"/>
              <w:right w:val="single" w:color="auto" w:sz="4" w:space="0"/>
            </w:tcBorders>
            <w:vAlign w:val="center"/>
          </w:tcPr>
          <w:p w14:paraId="52DB1186">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10</w:t>
            </w:r>
          </w:p>
        </w:tc>
        <w:tc>
          <w:tcPr>
            <w:tcW w:w="1046" w:type="dxa"/>
            <w:tcBorders>
              <w:top w:val="single" w:color="auto" w:sz="4" w:space="0"/>
              <w:left w:val="single" w:color="auto" w:sz="4" w:space="0"/>
              <w:bottom w:val="single" w:color="auto" w:sz="4" w:space="0"/>
              <w:right w:val="single" w:color="auto" w:sz="4" w:space="0"/>
            </w:tcBorders>
            <w:vAlign w:val="center"/>
          </w:tcPr>
          <w:p w14:paraId="393C10E1">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5</w:t>
            </w:r>
          </w:p>
        </w:tc>
        <w:tc>
          <w:tcPr>
            <w:tcW w:w="1454" w:type="dxa"/>
            <w:tcBorders>
              <w:top w:val="single" w:color="auto" w:sz="4" w:space="0"/>
              <w:left w:val="single" w:color="auto" w:sz="4" w:space="0"/>
              <w:bottom w:val="single" w:color="auto" w:sz="4" w:space="0"/>
              <w:right w:val="single" w:color="auto" w:sz="4" w:space="0"/>
            </w:tcBorders>
            <w:vAlign w:val="center"/>
          </w:tcPr>
          <w:p w14:paraId="5060615A">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3</w:t>
            </w:r>
          </w:p>
        </w:tc>
        <w:tc>
          <w:tcPr>
            <w:tcW w:w="1913" w:type="dxa"/>
            <w:tcBorders>
              <w:top w:val="single" w:color="auto" w:sz="4" w:space="0"/>
              <w:left w:val="single" w:color="auto" w:sz="4" w:space="0"/>
              <w:bottom w:val="single" w:color="auto" w:sz="4" w:space="0"/>
              <w:right w:val="single" w:color="auto" w:sz="4" w:space="0"/>
            </w:tcBorders>
            <w:vAlign w:val="center"/>
          </w:tcPr>
          <w:p w14:paraId="1C839CD4">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1</w:t>
            </w:r>
          </w:p>
        </w:tc>
      </w:tr>
      <w:tr w14:paraId="5BD28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14:paraId="0761D2E3">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第二作者</w:t>
            </w:r>
          </w:p>
        </w:tc>
        <w:tc>
          <w:tcPr>
            <w:tcW w:w="1735" w:type="dxa"/>
            <w:tcBorders>
              <w:top w:val="single" w:color="auto" w:sz="4" w:space="0"/>
              <w:left w:val="single" w:color="auto" w:sz="4" w:space="0"/>
              <w:bottom w:val="single" w:color="auto" w:sz="4" w:space="0"/>
              <w:right w:val="single" w:color="auto" w:sz="4" w:space="0"/>
            </w:tcBorders>
            <w:vAlign w:val="center"/>
          </w:tcPr>
          <w:p w14:paraId="4EE3FE6B">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8</w:t>
            </w:r>
          </w:p>
        </w:tc>
        <w:tc>
          <w:tcPr>
            <w:tcW w:w="1046" w:type="dxa"/>
            <w:tcBorders>
              <w:top w:val="single" w:color="auto" w:sz="4" w:space="0"/>
              <w:left w:val="single" w:color="auto" w:sz="4" w:space="0"/>
              <w:bottom w:val="single" w:color="auto" w:sz="4" w:space="0"/>
              <w:right w:val="single" w:color="auto" w:sz="4" w:space="0"/>
            </w:tcBorders>
            <w:vAlign w:val="center"/>
          </w:tcPr>
          <w:p w14:paraId="1BA440AE">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4</w:t>
            </w:r>
          </w:p>
        </w:tc>
        <w:tc>
          <w:tcPr>
            <w:tcW w:w="1454" w:type="dxa"/>
            <w:tcBorders>
              <w:top w:val="single" w:color="auto" w:sz="4" w:space="0"/>
              <w:left w:val="single" w:color="auto" w:sz="4" w:space="0"/>
              <w:bottom w:val="single" w:color="auto" w:sz="4" w:space="0"/>
              <w:right w:val="single" w:color="auto" w:sz="4" w:space="0"/>
            </w:tcBorders>
            <w:vAlign w:val="center"/>
          </w:tcPr>
          <w:p w14:paraId="07521A66">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2</w:t>
            </w:r>
          </w:p>
        </w:tc>
        <w:tc>
          <w:tcPr>
            <w:tcW w:w="1913" w:type="dxa"/>
            <w:tcBorders>
              <w:top w:val="single" w:color="auto" w:sz="4" w:space="0"/>
              <w:left w:val="single" w:color="auto" w:sz="4" w:space="0"/>
              <w:bottom w:val="single" w:color="auto" w:sz="4" w:space="0"/>
              <w:right w:val="single" w:color="auto" w:sz="4" w:space="0"/>
            </w:tcBorders>
            <w:vAlign w:val="center"/>
          </w:tcPr>
          <w:p w14:paraId="73CB5D98">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w:t>
            </w:r>
          </w:p>
        </w:tc>
      </w:tr>
      <w:tr w14:paraId="68E58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14:paraId="3677425E">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第三作者</w:t>
            </w:r>
          </w:p>
        </w:tc>
        <w:tc>
          <w:tcPr>
            <w:tcW w:w="1735" w:type="dxa"/>
            <w:tcBorders>
              <w:top w:val="single" w:color="auto" w:sz="4" w:space="0"/>
              <w:left w:val="single" w:color="auto" w:sz="4" w:space="0"/>
              <w:bottom w:val="single" w:color="auto" w:sz="4" w:space="0"/>
              <w:right w:val="single" w:color="auto" w:sz="4" w:space="0"/>
            </w:tcBorders>
            <w:vAlign w:val="center"/>
          </w:tcPr>
          <w:p w14:paraId="1839D66F">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4</w:t>
            </w:r>
          </w:p>
        </w:tc>
        <w:tc>
          <w:tcPr>
            <w:tcW w:w="1046" w:type="dxa"/>
            <w:tcBorders>
              <w:top w:val="single" w:color="auto" w:sz="4" w:space="0"/>
              <w:left w:val="single" w:color="auto" w:sz="4" w:space="0"/>
              <w:bottom w:val="single" w:color="auto" w:sz="4" w:space="0"/>
              <w:right w:val="single" w:color="auto" w:sz="4" w:space="0"/>
            </w:tcBorders>
            <w:vAlign w:val="center"/>
          </w:tcPr>
          <w:p w14:paraId="7DE42255">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2</w:t>
            </w:r>
          </w:p>
        </w:tc>
        <w:tc>
          <w:tcPr>
            <w:tcW w:w="1454" w:type="dxa"/>
            <w:tcBorders>
              <w:top w:val="single" w:color="auto" w:sz="4" w:space="0"/>
              <w:left w:val="single" w:color="auto" w:sz="4" w:space="0"/>
              <w:bottom w:val="single" w:color="auto" w:sz="4" w:space="0"/>
              <w:right w:val="single" w:color="auto" w:sz="4" w:space="0"/>
            </w:tcBorders>
            <w:vAlign w:val="center"/>
          </w:tcPr>
          <w:p w14:paraId="3406180E">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1</w:t>
            </w:r>
          </w:p>
        </w:tc>
        <w:tc>
          <w:tcPr>
            <w:tcW w:w="1913" w:type="dxa"/>
            <w:tcBorders>
              <w:top w:val="single" w:color="auto" w:sz="4" w:space="0"/>
              <w:left w:val="single" w:color="auto" w:sz="4" w:space="0"/>
              <w:bottom w:val="single" w:color="auto" w:sz="4" w:space="0"/>
              <w:right w:val="single" w:color="auto" w:sz="4" w:space="0"/>
            </w:tcBorders>
            <w:vAlign w:val="center"/>
          </w:tcPr>
          <w:p w14:paraId="68D5B09E">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w:t>
            </w:r>
          </w:p>
        </w:tc>
      </w:tr>
    </w:tbl>
    <w:p w14:paraId="15AF8EB4">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宋体"/>
          <w:kern w:val="0"/>
          <w:sz w:val="32"/>
          <w:szCs w:val="28"/>
        </w:rPr>
      </w:pPr>
    </w:p>
    <w:p w14:paraId="6AC43849">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rPr>
        <w:t>（1）文章以中国石油大学（北京）克拉玛依为唯一代表或唯一署名单位的，可以加分。一般公开刊物最多认定</w:t>
      </w:r>
      <w:r>
        <w:rPr>
          <w:rFonts w:ascii="Times New Roman" w:hAnsi="Times New Roman" w:eastAsia="仿宋_GB2312" w:cs="宋体"/>
          <w:kern w:val="0"/>
          <w:sz w:val="32"/>
          <w:szCs w:val="28"/>
        </w:rPr>
        <w:t>2篇</w:t>
      </w:r>
      <w:r>
        <w:rPr>
          <w:rFonts w:hint="eastAsia" w:ascii="Times New Roman" w:hAnsi="Times New Roman" w:eastAsia="仿宋_GB2312" w:cs="宋体"/>
          <w:kern w:val="0"/>
          <w:sz w:val="32"/>
          <w:szCs w:val="28"/>
        </w:rPr>
        <w:t>。</w:t>
      </w:r>
    </w:p>
    <w:p w14:paraId="04B02728">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rPr>
        <w:t>（2）文章录用但未正式发表的，不加分。</w:t>
      </w:r>
      <w:r>
        <w:rPr>
          <w:rFonts w:hint="eastAsia" w:ascii="Times New Roman" w:hAnsi="Times New Roman" w:eastAsia="仿宋_GB2312" w:cs="宋体"/>
          <w:color w:val="FF0000"/>
          <w:kern w:val="0"/>
          <w:sz w:val="32"/>
          <w:szCs w:val="28"/>
        </w:rPr>
        <w:t>所有发表的论文或科研成果均需专业负责人开具证明，证明论文或成果是与本人所学专业有关的学术成果，学院综测测评小组审核合格后方有效。</w:t>
      </w:r>
    </w:p>
    <w:p w14:paraId="3CCC91EC">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宋体"/>
          <w:kern w:val="0"/>
          <w:sz w:val="32"/>
          <w:szCs w:val="28"/>
        </w:rPr>
      </w:pPr>
      <w:r>
        <w:rPr>
          <w:rFonts w:hint="eastAsia" w:ascii="Times New Roman" w:hAnsi="Times New Roman" w:eastAsia="仿宋_GB2312" w:cs="宋体"/>
          <w:kern w:val="0"/>
          <w:sz w:val="32"/>
          <w:szCs w:val="28"/>
        </w:rPr>
        <w:t>（3）汉语言文学专业学生以第一作者身份在市级及以上报刊媒体上发表文学类作品的，按照国家级报刊</w:t>
      </w:r>
      <w:r>
        <w:rPr>
          <w:rFonts w:hint="eastAsia" w:ascii="Times New Roman" w:hAnsi="Times New Roman" w:eastAsia="仿宋_GB2312" w:cs="宋体"/>
          <w:kern w:val="0"/>
          <w:sz w:val="32"/>
          <w:szCs w:val="28"/>
          <w:lang w:val="en-US" w:eastAsia="zh-CN"/>
        </w:rPr>
        <w:t>1</w:t>
      </w:r>
      <w:r>
        <w:rPr>
          <w:rFonts w:hint="eastAsia" w:ascii="Times New Roman" w:hAnsi="Times New Roman" w:eastAsia="仿宋_GB2312" w:cs="宋体"/>
          <w:kern w:val="0"/>
          <w:sz w:val="32"/>
          <w:szCs w:val="28"/>
        </w:rPr>
        <w:t>分、省部级报刊</w:t>
      </w:r>
      <w:r>
        <w:rPr>
          <w:rFonts w:hint="eastAsia" w:ascii="Times New Roman" w:hAnsi="Times New Roman" w:eastAsia="仿宋_GB2312" w:cs="宋体"/>
          <w:kern w:val="0"/>
          <w:sz w:val="32"/>
          <w:szCs w:val="28"/>
          <w:lang w:val="en-US" w:eastAsia="zh-CN"/>
        </w:rPr>
        <w:t>0.8</w:t>
      </w:r>
      <w:r>
        <w:rPr>
          <w:rFonts w:hint="eastAsia" w:ascii="Times New Roman" w:hAnsi="Times New Roman" w:eastAsia="仿宋_GB2312" w:cs="宋体"/>
          <w:kern w:val="0"/>
          <w:sz w:val="32"/>
          <w:szCs w:val="28"/>
        </w:rPr>
        <w:t>分、市级报刊0</w:t>
      </w:r>
      <w:r>
        <w:rPr>
          <w:rFonts w:hint="eastAsia" w:ascii="Times New Roman" w:hAnsi="Times New Roman" w:eastAsia="仿宋_GB2312" w:cs="宋体"/>
          <w:kern w:val="0"/>
          <w:sz w:val="32"/>
          <w:szCs w:val="28"/>
          <w:lang w:val="en-US" w:eastAsia="zh-CN"/>
        </w:rPr>
        <w:t>.5</w:t>
      </w:r>
      <w:r>
        <w:rPr>
          <w:rFonts w:hint="eastAsia" w:ascii="Times New Roman" w:hAnsi="Times New Roman" w:eastAsia="仿宋_GB2312" w:cs="宋体"/>
          <w:kern w:val="0"/>
          <w:sz w:val="32"/>
          <w:szCs w:val="28"/>
        </w:rPr>
        <w:t>分标准进行加分。其中，国家级和省部级报刊最多累加2项，市级报刊最多累加3项。</w:t>
      </w:r>
    </w:p>
    <w:p w14:paraId="4F164794">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lang w:eastAsia="zh-CN"/>
        </w:rPr>
        <w:t>（</w:t>
      </w:r>
      <w:r>
        <w:rPr>
          <w:rFonts w:hint="eastAsia" w:ascii="Times New Roman" w:hAnsi="Times New Roman" w:eastAsia="仿宋_GB2312" w:cs="宋体"/>
          <w:kern w:val="0"/>
          <w:sz w:val="32"/>
          <w:szCs w:val="28"/>
          <w:lang w:val="en-US" w:eastAsia="zh-CN"/>
        </w:rPr>
        <w:t>4</w:t>
      </w:r>
      <w:r>
        <w:rPr>
          <w:rFonts w:hint="eastAsia" w:ascii="Times New Roman" w:hAnsi="Times New Roman" w:eastAsia="仿宋_GB2312" w:cs="宋体"/>
          <w:kern w:val="0"/>
          <w:sz w:val="32"/>
          <w:szCs w:val="28"/>
          <w:lang w:eastAsia="zh-CN"/>
        </w:rPr>
        <w:t>）</w:t>
      </w:r>
      <w:r>
        <w:rPr>
          <w:rFonts w:hint="eastAsia" w:ascii="Times New Roman" w:hAnsi="Times New Roman" w:eastAsia="仿宋_GB2312" w:cs="宋体"/>
          <w:kern w:val="0"/>
          <w:sz w:val="32"/>
          <w:szCs w:val="28"/>
        </w:rPr>
        <w:t>学生作为第一发明人获得发明专利授权，加</w:t>
      </w:r>
      <w:r>
        <w:rPr>
          <w:rFonts w:ascii="Times New Roman" w:hAnsi="Times New Roman" w:eastAsia="仿宋_GB2312" w:cs="宋体"/>
          <w:kern w:val="0"/>
          <w:sz w:val="32"/>
          <w:szCs w:val="28"/>
        </w:rPr>
        <w:t>2分。</w:t>
      </w:r>
    </w:p>
    <w:p w14:paraId="74DAECE4">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宋体"/>
          <w:kern w:val="0"/>
          <w:sz w:val="32"/>
          <w:szCs w:val="28"/>
        </w:rPr>
      </w:pPr>
      <w:r>
        <w:rPr>
          <w:rFonts w:ascii="Times New Roman" w:hAnsi="Times New Roman" w:eastAsia="仿宋_GB2312" w:cs="宋体"/>
          <w:kern w:val="0"/>
          <w:sz w:val="32"/>
          <w:szCs w:val="28"/>
        </w:rPr>
        <w:t>4</w:t>
      </w:r>
      <w:r>
        <w:rPr>
          <w:rFonts w:hint="eastAsia" w:ascii="Times New Roman" w:hAnsi="Times New Roman" w:eastAsia="仿宋_GB2312" w:cs="宋体"/>
          <w:kern w:val="0"/>
          <w:sz w:val="32"/>
          <w:szCs w:val="28"/>
        </w:rPr>
        <w:t>.凡参加学科类竞赛及大学生科技活动取得各级奖励者按下表加分：</w:t>
      </w:r>
    </w:p>
    <w:p w14:paraId="2D6E237D">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宋体"/>
          <w:kern w:val="0"/>
          <w:sz w:val="32"/>
          <w:szCs w:val="28"/>
        </w:rPr>
      </w:pPr>
    </w:p>
    <w:tbl>
      <w:tblPr>
        <w:tblStyle w:val="5"/>
        <w:tblW w:w="79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0"/>
        <w:gridCol w:w="1232"/>
        <w:gridCol w:w="1315"/>
        <w:gridCol w:w="1410"/>
        <w:gridCol w:w="1410"/>
        <w:gridCol w:w="1549"/>
      </w:tblGrid>
      <w:tr w14:paraId="68D5D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2292" w:type="dxa"/>
            <w:gridSpan w:val="2"/>
            <w:tcBorders>
              <w:top w:val="single" w:color="auto" w:sz="8" w:space="0"/>
              <w:left w:val="single" w:color="auto" w:sz="8" w:space="0"/>
              <w:bottom w:val="single" w:color="auto" w:sz="4" w:space="0"/>
              <w:right w:val="single" w:color="auto" w:sz="4" w:space="0"/>
              <w:tl2br w:val="single" w:color="auto" w:sz="4" w:space="0"/>
            </w:tcBorders>
            <w:shd w:val="clear" w:color="auto" w:fill="auto"/>
          </w:tcPr>
          <w:p w14:paraId="39244B64">
            <w:pPr>
              <w:keepNext w:val="0"/>
              <w:keepLines w:val="0"/>
              <w:pageBreakBefore w:val="0"/>
              <w:kinsoku/>
              <w:wordWrap/>
              <w:overflowPunct/>
              <w:topLinePunct w:val="0"/>
              <w:autoSpaceDE/>
              <w:autoSpaceDN/>
              <w:bidi w:val="0"/>
              <w:spacing w:line="560" w:lineRule="exact"/>
              <w:ind w:firstLine="1120" w:firstLineChars="400"/>
              <w:textAlignment w:val="auto"/>
              <w:rPr>
                <w:rFonts w:ascii="Times New Roman" w:hAnsi="Times New Roman" w:eastAsia="仿宋_GB2312"/>
                <w:sz w:val="28"/>
                <w:szCs w:val="28"/>
              </w:rPr>
            </w:pPr>
            <w:r>
              <w:rPr>
                <w:rFonts w:ascii="Times New Roman" w:hAnsi="Times New Roman" w:eastAsia="仿宋_GB2312"/>
                <w:sz w:val="28"/>
                <w:szCs w:val="28"/>
              </w:rPr>
              <w:t>分值</w:t>
            </w:r>
          </w:p>
          <w:p w14:paraId="406D208E">
            <w:pPr>
              <w:keepNext w:val="0"/>
              <w:keepLines w:val="0"/>
              <w:pageBreakBefore w:val="0"/>
              <w:kinsoku/>
              <w:wordWrap/>
              <w:overflowPunct/>
              <w:topLinePunct w:val="0"/>
              <w:autoSpaceDE/>
              <w:autoSpaceDN/>
              <w:bidi w:val="0"/>
              <w:spacing w:line="560" w:lineRule="exact"/>
              <w:ind w:firstLine="280" w:firstLineChars="100"/>
              <w:textAlignment w:val="auto"/>
              <w:rPr>
                <w:rFonts w:ascii="Times New Roman" w:hAnsi="Times New Roman" w:eastAsia="仿宋_GB2312"/>
                <w:sz w:val="28"/>
                <w:szCs w:val="28"/>
              </w:rPr>
            </w:pPr>
            <w:r>
              <w:rPr>
                <w:rFonts w:ascii="Times New Roman" w:hAnsi="Times New Roman" w:eastAsia="仿宋_GB2312"/>
                <w:sz w:val="28"/>
                <w:szCs w:val="28"/>
              </w:rPr>
              <w:t>级别</w:t>
            </w:r>
          </w:p>
        </w:tc>
        <w:tc>
          <w:tcPr>
            <w:tcW w:w="1315" w:type="dxa"/>
            <w:tcBorders>
              <w:top w:val="single" w:color="auto" w:sz="8" w:space="0"/>
              <w:left w:val="single" w:color="auto" w:sz="4" w:space="0"/>
              <w:bottom w:val="single" w:color="auto" w:sz="4" w:space="0"/>
              <w:right w:val="single" w:color="auto" w:sz="4" w:space="0"/>
            </w:tcBorders>
            <w:shd w:val="clear" w:color="auto" w:fill="auto"/>
            <w:vAlign w:val="center"/>
          </w:tcPr>
          <w:p w14:paraId="3586D0A3">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1档</w:t>
            </w:r>
          </w:p>
        </w:tc>
        <w:tc>
          <w:tcPr>
            <w:tcW w:w="1410" w:type="dxa"/>
            <w:tcBorders>
              <w:top w:val="single" w:color="auto" w:sz="8" w:space="0"/>
              <w:left w:val="single" w:color="auto" w:sz="4" w:space="0"/>
              <w:bottom w:val="single" w:color="auto" w:sz="4" w:space="0"/>
              <w:right w:val="single" w:color="auto" w:sz="4" w:space="0"/>
            </w:tcBorders>
            <w:shd w:val="clear" w:color="auto" w:fill="auto"/>
            <w:vAlign w:val="center"/>
          </w:tcPr>
          <w:p w14:paraId="0FFECA05">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2档</w:t>
            </w:r>
          </w:p>
        </w:tc>
        <w:tc>
          <w:tcPr>
            <w:tcW w:w="1410" w:type="dxa"/>
            <w:tcBorders>
              <w:top w:val="single" w:color="auto" w:sz="8" w:space="0"/>
              <w:left w:val="single" w:color="auto" w:sz="4" w:space="0"/>
              <w:bottom w:val="single" w:color="auto" w:sz="4" w:space="0"/>
              <w:right w:val="single" w:color="auto" w:sz="4" w:space="0"/>
            </w:tcBorders>
            <w:shd w:val="clear" w:color="auto" w:fill="auto"/>
            <w:vAlign w:val="center"/>
          </w:tcPr>
          <w:p w14:paraId="3C98DC43">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3档</w:t>
            </w:r>
          </w:p>
        </w:tc>
        <w:tc>
          <w:tcPr>
            <w:tcW w:w="1549" w:type="dxa"/>
            <w:tcBorders>
              <w:top w:val="single" w:color="auto" w:sz="8" w:space="0"/>
              <w:left w:val="single" w:color="auto" w:sz="4" w:space="0"/>
              <w:bottom w:val="single" w:color="auto" w:sz="4" w:space="0"/>
              <w:right w:val="single" w:color="auto" w:sz="8" w:space="0"/>
            </w:tcBorders>
            <w:shd w:val="clear" w:color="auto" w:fill="auto"/>
            <w:vAlign w:val="center"/>
          </w:tcPr>
          <w:p w14:paraId="4F46C3E4">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4档</w:t>
            </w:r>
          </w:p>
        </w:tc>
      </w:tr>
      <w:tr w14:paraId="5FB54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60" w:type="dxa"/>
            <w:vMerge w:val="restart"/>
            <w:tcBorders>
              <w:top w:val="single" w:color="auto" w:sz="4" w:space="0"/>
              <w:left w:val="single" w:color="auto" w:sz="8" w:space="0"/>
              <w:right w:val="single" w:color="auto" w:sz="4" w:space="0"/>
            </w:tcBorders>
            <w:shd w:val="clear" w:color="auto" w:fill="auto"/>
            <w:vAlign w:val="center"/>
          </w:tcPr>
          <w:p w14:paraId="6F5620EB">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A类</w:t>
            </w: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5639DB3E">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国家级</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14:paraId="049CCDBE">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2</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0E8D9AF0">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0</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697DA368">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8</w:t>
            </w:r>
          </w:p>
        </w:tc>
        <w:tc>
          <w:tcPr>
            <w:tcW w:w="1549" w:type="dxa"/>
            <w:tcBorders>
              <w:top w:val="single" w:color="auto" w:sz="4" w:space="0"/>
              <w:left w:val="single" w:color="auto" w:sz="4" w:space="0"/>
              <w:bottom w:val="single" w:color="auto" w:sz="4" w:space="0"/>
              <w:right w:val="single" w:color="auto" w:sz="8" w:space="0"/>
            </w:tcBorders>
            <w:shd w:val="clear" w:color="auto" w:fill="auto"/>
            <w:vAlign w:val="center"/>
          </w:tcPr>
          <w:p w14:paraId="13F2ABCB">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6</w:t>
            </w:r>
          </w:p>
        </w:tc>
      </w:tr>
      <w:tr w14:paraId="758CA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60" w:type="dxa"/>
            <w:vMerge w:val="continue"/>
            <w:tcBorders>
              <w:left w:val="single" w:color="auto" w:sz="8" w:space="0"/>
              <w:bottom w:val="single" w:color="auto" w:sz="4" w:space="0"/>
              <w:right w:val="single" w:color="auto" w:sz="4" w:space="0"/>
            </w:tcBorders>
            <w:shd w:val="clear" w:color="auto" w:fill="auto"/>
            <w:vAlign w:val="center"/>
          </w:tcPr>
          <w:p w14:paraId="48F84D2B">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78B552B1">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省部级</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14:paraId="5F325BF7">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6</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29FF02C0">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5</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3719486E">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4</w:t>
            </w:r>
          </w:p>
        </w:tc>
        <w:tc>
          <w:tcPr>
            <w:tcW w:w="1549" w:type="dxa"/>
            <w:tcBorders>
              <w:top w:val="single" w:color="auto" w:sz="4" w:space="0"/>
              <w:left w:val="single" w:color="auto" w:sz="4" w:space="0"/>
              <w:bottom w:val="single" w:color="auto" w:sz="4" w:space="0"/>
              <w:right w:val="single" w:color="auto" w:sz="8" w:space="0"/>
            </w:tcBorders>
            <w:shd w:val="clear" w:color="auto" w:fill="auto"/>
            <w:vAlign w:val="center"/>
          </w:tcPr>
          <w:p w14:paraId="5FFC8524">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3</w:t>
            </w:r>
          </w:p>
        </w:tc>
      </w:tr>
      <w:tr w14:paraId="6F7C7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60" w:type="dxa"/>
            <w:vMerge w:val="restart"/>
            <w:tcBorders>
              <w:top w:val="single" w:color="auto" w:sz="4" w:space="0"/>
              <w:left w:val="single" w:color="auto" w:sz="8" w:space="0"/>
              <w:right w:val="single" w:color="auto" w:sz="4" w:space="0"/>
            </w:tcBorders>
            <w:shd w:val="clear" w:color="auto" w:fill="auto"/>
            <w:vAlign w:val="center"/>
          </w:tcPr>
          <w:p w14:paraId="2FDB351E">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B类</w:t>
            </w: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07918C8E">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国家级</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14:paraId="75C9D017">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8</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5A40FE83">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6</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0A70C0AF">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4</w:t>
            </w:r>
          </w:p>
        </w:tc>
        <w:tc>
          <w:tcPr>
            <w:tcW w:w="1549" w:type="dxa"/>
            <w:tcBorders>
              <w:top w:val="single" w:color="auto" w:sz="4" w:space="0"/>
              <w:left w:val="single" w:color="auto" w:sz="4" w:space="0"/>
              <w:bottom w:val="single" w:color="auto" w:sz="4" w:space="0"/>
              <w:right w:val="single" w:color="auto" w:sz="8" w:space="0"/>
            </w:tcBorders>
            <w:shd w:val="clear" w:color="auto" w:fill="auto"/>
            <w:vAlign w:val="center"/>
          </w:tcPr>
          <w:p w14:paraId="229CABEE">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2</w:t>
            </w:r>
          </w:p>
        </w:tc>
      </w:tr>
      <w:tr w14:paraId="4B0F5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60" w:type="dxa"/>
            <w:vMerge w:val="continue"/>
            <w:tcBorders>
              <w:left w:val="single" w:color="auto" w:sz="8" w:space="0"/>
              <w:bottom w:val="single" w:color="auto" w:sz="4" w:space="0"/>
              <w:right w:val="single" w:color="auto" w:sz="4" w:space="0"/>
            </w:tcBorders>
            <w:shd w:val="clear" w:color="auto" w:fill="auto"/>
            <w:vAlign w:val="center"/>
          </w:tcPr>
          <w:p w14:paraId="162DD0B9">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76AD11F6">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省部级</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14:paraId="6896F284">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4</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01E29E61">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3</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6DE29C58">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2</w:t>
            </w:r>
          </w:p>
        </w:tc>
        <w:tc>
          <w:tcPr>
            <w:tcW w:w="1549" w:type="dxa"/>
            <w:tcBorders>
              <w:top w:val="single" w:color="auto" w:sz="4" w:space="0"/>
              <w:left w:val="single" w:color="auto" w:sz="4" w:space="0"/>
              <w:bottom w:val="single" w:color="auto" w:sz="4" w:space="0"/>
              <w:right w:val="single" w:color="auto" w:sz="8" w:space="0"/>
            </w:tcBorders>
            <w:shd w:val="clear" w:color="auto" w:fill="auto"/>
            <w:vAlign w:val="center"/>
          </w:tcPr>
          <w:p w14:paraId="2994C326">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1</w:t>
            </w:r>
          </w:p>
        </w:tc>
      </w:tr>
      <w:tr w14:paraId="4A0D9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60" w:type="dxa"/>
            <w:vMerge w:val="restart"/>
            <w:tcBorders>
              <w:top w:val="single" w:color="auto" w:sz="4" w:space="0"/>
              <w:left w:val="single" w:color="auto" w:sz="8" w:space="0"/>
              <w:right w:val="single" w:color="auto" w:sz="4" w:space="0"/>
            </w:tcBorders>
            <w:shd w:val="clear" w:color="auto" w:fill="auto"/>
            <w:vAlign w:val="center"/>
          </w:tcPr>
          <w:p w14:paraId="26AA383D">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C类</w:t>
            </w: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6B3C412B">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国家级</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14:paraId="019CF3A1">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4</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7D3B1544">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3</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5EABD13B">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2</w:t>
            </w:r>
          </w:p>
        </w:tc>
        <w:tc>
          <w:tcPr>
            <w:tcW w:w="1549" w:type="dxa"/>
            <w:tcBorders>
              <w:top w:val="single" w:color="auto" w:sz="4" w:space="0"/>
              <w:left w:val="single" w:color="auto" w:sz="4" w:space="0"/>
              <w:bottom w:val="single" w:color="auto" w:sz="4" w:space="0"/>
              <w:right w:val="single" w:color="auto" w:sz="8" w:space="0"/>
            </w:tcBorders>
            <w:shd w:val="clear" w:color="auto" w:fill="auto"/>
            <w:vAlign w:val="center"/>
          </w:tcPr>
          <w:p w14:paraId="0086AFA9">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1</w:t>
            </w:r>
          </w:p>
        </w:tc>
      </w:tr>
      <w:tr w14:paraId="31E39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60" w:type="dxa"/>
            <w:vMerge w:val="continue"/>
            <w:tcBorders>
              <w:left w:val="single" w:color="auto" w:sz="8" w:space="0"/>
              <w:bottom w:val="single" w:color="auto" w:sz="4" w:space="0"/>
              <w:right w:val="single" w:color="auto" w:sz="4" w:space="0"/>
            </w:tcBorders>
            <w:shd w:val="clear" w:color="auto" w:fill="auto"/>
            <w:vAlign w:val="center"/>
          </w:tcPr>
          <w:p w14:paraId="066A7679">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3D4FBD79">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省部级</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14:paraId="3724A9AB">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2</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148DCF61">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1</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1F596FF1">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0.5</w:t>
            </w:r>
          </w:p>
        </w:tc>
        <w:tc>
          <w:tcPr>
            <w:tcW w:w="1549" w:type="dxa"/>
            <w:tcBorders>
              <w:top w:val="single" w:color="auto" w:sz="4" w:space="0"/>
              <w:left w:val="single" w:color="auto" w:sz="4" w:space="0"/>
              <w:bottom w:val="single" w:color="auto" w:sz="4" w:space="0"/>
              <w:right w:val="single" w:color="auto" w:sz="8" w:space="0"/>
            </w:tcBorders>
            <w:shd w:val="clear" w:color="auto" w:fill="auto"/>
            <w:vAlign w:val="center"/>
          </w:tcPr>
          <w:p w14:paraId="452830C4">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w:t>
            </w:r>
          </w:p>
        </w:tc>
      </w:tr>
      <w:tr w14:paraId="64421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2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ED52C9">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D类</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14:paraId="428DAA35">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1</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4FC78E24">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0.5</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35A4E195">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0.2</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14:paraId="116ED731">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w:t>
            </w:r>
          </w:p>
        </w:tc>
      </w:tr>
    </w:tbl>
    <w:p w14:paraId="31578854">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宋体"/>
          <w:kern w:val="0"/>
          <w:sz w:val="32"/>
          <w:szCs w:val="28"/>
        </w:rPr>
      </w:pPr>
    </w:p>
    <w:p w14:paraId="180ED44B">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rPr>
        <w:t>（1）</w:t>
      </w:r>
      <w:r>
        <w:rPr>
          <w:rFonts w:ascii="Times New Roman" w:hAnsi="Times New Roman" w:eastAsia="仿宋_GB2312" w:cs="宋体"/>
          <w:kern w:val="0"/>
          <w:sz w:val="32"/>
          <w:szCs w:val="28"/>
        </w:rPr>
        <w:t>A类比赛为中国国际“互联网+”大学生创新创业大赛、“挑战杯”全国大学生课外学术科技作品竞赛、“挑战杯”中国大学生创业计划竞赛；B类竞赛为教育部发布的《全国普通高校大学生竞赛排行榜》中其他竞赛；C类竞赛为其他影响力较大的比赛；D类比赛为A/B/C类竞赛校内选拔赛和校级学科竞赛。</w:t>
      </w:r>
    </w:p>
    <w:p w14:paraId="37C7DE17">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rPr>
        <w:t>（2）团队比赛获奖项目，负责人（队长）按最高</w:t>
      </w:r>
      <w:r>
        <w:rPr>
          <w:rFonts w:ascii="Times New Roman" w:hAnsi="Times New Roman" w:eastAsia="仿宋_GB2312" w:cs="宋体"/>
          <w:kern w:val="0"/>
          <w:sz w:val="32"/>
          <w:szCs w:val="28"/>
        </w:rPr>
        <w:t>2/3的比例赋分，其他队员根据实际参与程度按照最高1/2的比例赋分</w:t>
      </w:r>
      <w:r>
        <w:rPr>
          <w:rFonts w:hint="eastAsia" w:ascii="Times New Roman" w:hAnsi="Times New Roman" w:eastAsia="仿宋_GB2312" w:cs="宋体"/>
          <w:kern w:val="0"/>
          <w:sz w:val="32"/>
          <w:szCs w:val="28"/>
        </w:rPr>
        <w:t>，</w:t>
      </w:r>
      <w:r>
        <w:rPr>
          <w:rFonts w:hint="eastAsia" w:ascii="Times New Roman" w:hAnsi="Times New Roman" w:eastAsia="仿宋_GB2312" w:cs="宋体"/>
          <w:color w:val="FF0000"/>
          <w:kern w:val="0"/>
          <w:sz w:val="32"/>
          <w:szCs w:val="28"/>
        </w:rPr>
        <w:t>且所有成员得分之和不高于所获奖项加分分数</w:t>
      </w:r>
      <w:r>
        <w:rPr>
          <w:rFonts w:ascii="Times New Roman" w:hAnsi="Times New Roman" w:eastAsia="仿宋_GB2312" w:cs="宋体"/>
          <w:kern w:val="0"/>
          <w:sz w:val="32"/>
          <w:szCs w:val="28"/>
        </w:rPr>
        <w:t>。</w:t>
      </w:r>
    </w:p>
    <w:p w14:paraId="4532AEB1">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rPr>
        <w:t>（3）各类竞赛加分均需证书、公示等正式获奖凭证，团队比赛获奖项目另需提供团队比赛获奖项目赋分明细表（见附件1）。</w:t>
      </w:r>
    </w:p>
    <w:p w14:paraId="25700819">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rPr>
        <w:t>（</w:t>
      </w:r>
      <w:r>
        <w:rPr>
          <w:rFonts w:ascii="Times New Roman" w:hAnsi="Times New Roman" w:eastAsia="仿宋_GB2312" w:cs="宋体"/>
          <w:kern w:val="0"/>
          <w:sz w:val="32"/>
          <w:szCs w:val="28"/>
        </w:rPr>
        <w:t>4</w:t>
      </w:r>
      <w:r>
        <w:rPr>
          <w:rFonts w:hint="eastAsia" w:ascii="Times New Roman" w:hAnsi="Times New Roman" w:eastAsia="仿宋_GB2312" w:cs="宋体"/>
          <w:kern w:val="0"/>
          <w:sz w:val="32"/>
          <w:szCs w:val="28"/>
        </w:rPr>
        <w:t>）同一比赛项目只能择一等级认定加分。</w:t>
      </w:r>
    </w:p>
    <w:p w14:paraId="69252DA6">
      <w:pPr>
        <w:pStyle w:val="8"/>
        <w:keepNext w:val="0"/>
        <w:keepLines w:val="0"/>
        <w:pageBreakBefore w:val="0"/>
        <w:widowControl/>
        <w:numPr>
          <w:ilvl w:val="0"/>
          <w:numId w:val="1"/>
        </w:numPr>
        <w:kinsoku/>
        <w:wordWrap/>
        <w:overflowPunct/>
        <w:topLinePunct w:val="0"/>
        <w:autoSpaceDE/>
        <w:autoSpaceDN/>
        <w:bidi w:val="0"/>
        <w:spacing w:line="560" w:lineRule="exact"/>
        <w:ind w:left="0" w:firstLine="560"/>
        <w:jc w:val="left"/>
        <w:textAlignment w:val="auto"/>
        <w:rPr>
          <w:rFonts w:hint="eastAsia" w:ascii="楷体_GB2312" w:hAnsi="楷体_GB2312" w:eastAsia="楷体_GB2312" w:cs="楷体_GB2312"/>
          <w:kern w:val="0"/>
          <w:sz w:val="32"/>
          <w:szCs w:val="28"/>
        </w:rPr>
      </w:pPr>
      <w:r>
        <w:rPr>
          <w:rFonts w:hint="eastAsia" w:ascii="楷体_GB2312" w:hAnsi="楷体_GB2312" w:eastAsia="楷体_GB2312" w:cs="楷体_GB2312"/>
          <w:kern w:val="0"/>
          <w:sz w:val="32"/>
          <w:szCs w:val="28"/>
        </w:rPr>
        <w:t>体育部分</w:t>
      </w:r>
    </w:p>
    <w:p w14:paraId="4ABC91D1">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宋体"/>
          <w:kern w:val="0"/>
          <w:sz w:val="32"/>
          <w:szCs w:val="28"/>
        </w:rPr>
      </w:pPr>
      <w:r>
        <w:rPr>
          <w:rFonts w:hint="eastAsia" w:ascii="Times New Roman" w:hAnsi="Times New Roman" w:eastAsia="仿宋_GB2312" w:cs="宋体"/>
          <w:kern w:val="0"/>
          <w:sz w:val="32"/>
          <w:szCs w:val="28"/>
        </w:rPr>
        <w:t>参加各级体育比赛获得名次者，按下表加分：</w:t>
      </w:r>
    </w:p>
    <w:p w14:paraId="3E5F7AA6">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宋体"/>
          <w:kern w:val="0"/>
          <w:sz w:val="32"/>
          <w:szCs w:val="28"/>
        </w:rPr>
      </w:pPr>
    </w:p>
    <w:tbl>
      <w:tblPr>
        <w:tblStyle w:val="5"/>
        <w:tblW w:w="78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2"/>
        <w:gridCol w:w="1456"/>
        <w:gridCol w:w="1574"/>
        <w:gridCol w:w="1559"/>
        <w:gridCol w:w="1390"/>
      </w:tblGrid>
      <w:tr w14:paraId="6940D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902" w:type="dxa"/>
            <w:tcBorders>
              <w:top w:val="single" w:color="auto" w:sz="4" w:space="0"/>
              <w:left w:val="single" w:color="auto" w:sz="4" w:space="0"/>
              <w:bottom w:val="single" w:color="auto" w:sz="4" w:space="0"/>
              <w:right w:val="single" w:color="auto" w:sz="4" w:space="0"/>
              <w:tl2br w:val="single" w:color="auto" w:sz="4" w:space="0"/>
            </w:tcBorders>
          </w:tcPr>
          <w:p w14:paraId="2D29EE14">
            <w:pPr>
              <w:keepNext w:val="0"/>
              <w:keepLines w:val="0"/>
              <w:pageBreakBefore w:val="0"/>
              <w:kinsoku/>
              <w:wordWrap/>
              <w:overflowPunct/>
              <w:topLinePunct w:val="0"/>
              <w:autoSpaceDE/>
              <w:autoSpaceDN/>
              <w:bidi w:val="0"/>
              <w:adjustRightInd w:val="0"/>
              <w:snapToGrid w:val="0"/>
              <w:spacing w:line="560" w:lineRule="exact"/>
              <w:ind w:firstLine="840" w:firstLineChars="300"/>
              <w:textAlignment w:val="auto"/>
              <w:rPr>
                <w:rFonts w:ascii="Times New Roman" w:hAnsi="Times New Roman" w:eastAsia="仿宋_GB2312"/>
                <w:sz w:val="28"/>
                <w:szCs w:val="28"/>
              </w:rPr>
            </w:pPr>
            <w:r>
              <w:rPr>
                <w:rFonts w:ascii="Times New Roman" w:hAnsi="Times New Roman" w:eastAsia="仿宋_GB2312"/>
                <w:sz w:val="28"/>
                <w:szCs w:val="28"/>
              </w:rPr>
              <w:t>分值</w:t>
            </w:r>
          </w:p>
          <w:p w14:paraId="3C9F3867">
            <w:pPr>
              <w:keepNext w:val="0"/>
              <w:keepLines w:val="0"/>
              <w:pageBreakBefore w:val="0"/>
              <w:kinsoku/>
              <w:wordWrap/>
              <w:overflowPunct/>
              <w:topLinePunct w:val="0"/>
              <w:autoSpaceDE/>
              <w:autoSpaceDN/>
              <w:bidi w:val="0"/>
              <w:adjustRightInd w:val="0"/>
              <w:snapToGrid w:val="0"/>
              <w:spacing w:line="560" w:lineRule="exact"/>
              <w:ind w:firstLine="306"/>
              <w:textAlignment w:val="auto"/>
              <w:rPr>
                <w:rFonts w:ascii="Times New Roman" w:hAnsi="Times New Roman" w:eastAsia="仿宋_GB2312"/>
                <w:sz w:val="28"/>
                <w:szCs w:val="28"/>
              </w:rPr>
            </w:pPr>
            <w:r>
              <w:rPr>
                <w:rFonts w:ascii="Times New Roman" w:hAnsi="Times New Roman" w:eastAsia="仿宋_GB2312"/>
                <w:sz w:val="28"/>
                <w:szCs w:val="28"/>
              </w:rPr>
              <w:t>级别</w:t>
            </w:r>
          </w:p>
        </w:tc>
        <w:tc>
          <w:tcPr>
            <w:tcW w:w="1456" w:type="dxa"/>
            <w:tcBorders>
              <w:top w:val="single" w:color="auto" w:sz="4" w:space="0"/>
              <w:left w:val="single" w:color="auto" w:sz="4" w:space="0"/>
              <w:bottom w:val="single" w:color="auto" w:sz="4" w:space="0"/>
              <w:right w:val="single" w:color="auto" w:sz="4" w:space="0"/>
            </w:tcBorders>
            <w:vAlign w:val="center"/>
          </w:tcPr>
          <w:p w14:paraId="434397AB">
            <w:pPr>
              <w:keepNext w:val="0"/>
              <w:keepLines w:val="0"/>
              <w:pageBreakBefore w:val="0"/>
              <w:kinsoku/>
              <w:wordWrap/>
              <w:overflowPunct/>
              <w:topLinePunct w:val="0"/>
              <w:autoSpaceDE/>
              <w:autoSpaceDN/>
              <w:bidi w:val="0"/>
              <w:adjustRightInd w:val="0"/>
              <w:snapToGrid w:val="0"/>
              <w:spacing w:line="560" w:lineRule="exact"/>
              <w:ind w:hanging="24"/>
              <w:jc w:val="center"/>
              <w:textAlignment w:val="auto"/>
              <w:rPr>
                <w:rFonts w:ascii="Times New Roman" w:hAnsi="Times New Roman" w:eastAsia="仿宋_GB2312"/>
                <w:sz w:val="28"/>
                <w:szCs w:val="28"/>
              </w:rPr>
            </w:pPr>
            <w:r>
              <w:rPr>
                <w:rFonts w:ascii="Times New Roman" w:hAnsi="Times New Roman" w:eastAsia="仿宋_GB2312"/>
                <w:sz w:val="28"/>
                <w:szCs w:val="28"/>
              </w:rPr>
              <w:t>一、二名</w:t>
            </w:r>
          </w:p>
        </w:tc>
        <w:tc>
          <w:tcPr>
            <w:tcW w:w="1574" w:type="dxa"/>
            <w:tcBorders>
              <w:top w:val="single" w:color="auto" w:sz="4" w:space="0"/>
              <w:left w:val="single" w:color="auto" w:sz="4" w:space="0"/>
              <w:bottom w:val="single" w:color="auto" w:sz="4" w:space="0"/>
              <w:right w:val="single" w:color="auto" w:sz="4" w:space="0"/>
            </w:tcBorders>
            <w:vAlign w:val="center"/>
          </w:tcPr>
          <w:p w14:paraId="131E4335">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三、四名</w:t>
            </w:r>
          </w:p>
        </w:tc>
        <w:tc>
          <w:tcPr>
            <w:tcW w:w="1559" w:type="dxa"/>
            <w:tcBorders>
              <w:top w:val="single" w:color="auto" w:sz="4" w:space="0"/>
              <w:left w:val="single" w:color="auto" w:sz="4" w:space="0"/>
              <w:bottom w:val="single" w:color="auto" w:sz="4" w:space="0"/>
              <w:right w:val="single" w:color="auto" w:sz="4" w:space="0"/>
            </w:tcBorders>
            <w:vAlign w:val="center"/>
          </w:tcPr>
          <w:p w14:paraId="0B04F1B1">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五、六名</w:t>
            </w:r>
          </w:p>
        </w:tc>
        <w:tc>
          <w:tcPr>
            <w:tcW w:w="1390" w:type="dxa"/>
            <w:tcBorders>
              <w:top w:val="single" w:color="auto" w:sz="4" w:space="0"/>
              <w:left w:val="single" w:color="auto" w:sz="4" w:space="0"/>
              <w:bottom w:val="single" w:color="auto" w:sz="4" w:space="0"/>
              <w:right w:val="single" w:color="auto" w:sz="4" w:space="0"/>
            </w:tcBorders>
            <w:vAlign w:val="center"/>
          </w:tcPr>
          <w:p w14:paraId="57B8D7EF">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七、八名</w:t>
            </w:r>
          </w:p>
        </w:tc>
      </w:tr>
      <w:tr w14:paraId="7C41E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2" w:type="dxa"/>
            <w:tcBorders>
              <w:top w:val="single" w:color="auto" w:sz="4" w:space="0"/>
              <w:left w:val="single" w:color="auto" w:sz="4" w:space="0"/>
              <w:bottom w:val="single" w:color="auto" w:sz="4" w:space="0"/>
              <w:right w:val="single" w:color="auto" w:sz="4" w:space="0"/>
            </w:tcBorders>
            <w:vAlign w:val="center"/>
          </w:tcPr>
          <w:p w14:paraId="771F4314">
            <w:pPr>
              <w:keepNext w:val="0"/>
              <w:keepLines w:val="0"/>
              <w:pageBreakBefore w:val="0"/>
              <w:kinsoku/>
              <w:wordWrap/>
              <w:overflowPunct/>
              <w:topLinePunct w:val="0"/>
              <w:autoSpaceDE/>
              <w:autoSpaceDN/>
              <w:bidi w:val="0"/>
              <w:adjustRightInd w:val="0"/>
              <w:snapToGrid w:val="0"/>
              <w:spacing w:line="560" w:lineRule="exact"/>
              <w:ind w:firstLine="22"/>
              <w:jc w:val="center"/>
              <w:textAlignment w:val="auto"/>
              <w:rPr>
                <w:rFonts w:ascii="Times New Roman" w:hAnsi="Times New Roman" w:eastAsia="仿宋_GB2312"/>
                <w:sz w:val="28"/>
                <w:szCs w:val="28"/>
              </w:rPr>
            </w:pPr>
            <w:r>
              <w:rPr>
                <w:rFonts w:ascii="Times New Roman" w:hAnsi="Times New Roman" w:eastAsia="仿宋_GB2312"/>
                <w:sz w:val="28"/>
                <w:szCs w:val="28"/>
              </w:rPr>
              <w:t>国家级</w:t>
            </w:r>
          </w:p>
        </w:tc>
        <w:tc>
          <w:tcPr>
            <w:tcW w:w="1456" w:type="dxa"/>
            <w:tcBorders>
              <w:top w:val="single" w:color="auto" w:sz="4" w:space="0"/>
              <w:left w:val="single" w:color="auto" w:sz="4" w:space="0"/>
              <w:bottom w:val="single" w:color="auto" w:sz="4" w:space="0"/>
              <w:right w:val="single" w:color="auto" w:sz="4" w:space="0"/>
            </w:tcBorders>
            <w:vAlign w:val="center"/>
          </w:tcPr>
          <w:p w14:paraId="055D53ED">
            <w:pPr>
              <w:keepNext w:val="0"/>
              <w:keepLines w:val="0"/>
              <w:pageBreakBefore w:val="0"/>
              <w:kinsoku/>
              <w:wordWrap/>
              <w:overflowPunct/>
              <w:topLinePunct w:val="0"/>
              <w:autoSpaceDE/>
              <w:autoSpaceDN/>
              <w:bidi w:val="0"/>
              <w:adjustRightInd w:val="0"/>
              <w:snapToGrid w:val="0"/>
              <w:spacing w:line="560" w:lineRule="exact"/>
              <w:ind w:firstLine="22"/>
              <w:jc w:val="center"/>
              <w:textAlignment w:val="auto"/>
              <w:rPr>
                <w:rFonts w:ascii="Times New Roman" w:hAnsi="Times New Roman" w:eastAsia="仿宋_GB2312"/>
                <w:sz w:val="28"/>
                <w:szCs w:val="28"/>
              </w:rPr>
            </w:pPr>
            <w:r>
              <w:rPr>
                <w:rFonts w:ascii="Times New Roman" w:hAnsi="Times New Roman" w:eastAsia="仿宋_GB2312"/>
                <w:sz w:val="28"/>
                <w:szCs w:val="28"/>
              </w:rPr>
              <w:t>30</w:t>
            </w:r>
          </w:p>
        </w:tc>
        <w:tc>
          <w:tcPr>
            <w:tcW w:w="1574" w:type="dxa"/>
            <w:tcBorders>
              <w:top w:val="single" w:color="auto" w:sz="4" w:space="0"/>
              <w:left w:val="single" w:color="auto" w:sz="4" w:space="0"/>
              <w:bottom w:val="single" w:color="auto" w:sz="4" w:space="0"/>
              <w:right w:val="single" w:color="auto" w:sz="4" w:space="0"/>
            </w:tcBorders>
            <w:vAlign w:val="center"/>
          </w:tcPr>
          <w:p w14:paraId="68694FBC">
            <w:pPr>
              <w:keepNext w:val="0"/>
              <w:keepLines w:val="0"/>
              <w:pageBreakBefore w:val="0"/>
              <w:kinsoku/>
              <w:wordWrap/>
              <w:overflowPunct/>
              <w:topLinePunct w:val="0"/>
              <w:autoSpaceDE/>
              <w:autoSpaceDN/>
              <w:bidi w:val="0"/>
              <w:adjustRightInd w:val="0"/>
              <w:snapToGrid w:val="0"/>
              <w:spacing w:line="560" w:lineRule="exact"/>
              <w:ind w:firstLine="22"/>
              <w:jc w:val="center"/>
              <w:textAlignment w:val="auto"/>
              <w:rPr>
                <w:rFonts w:ascii="Times New Roman" w:hAnsi="Times New Roman" w:eastAsia="仿宋_GB2312"/>
                <w:sz w:val="28"/>
                <w:szCs w:val="28"/>
              </w:rPr>
            </w:pPr>
            <w:r>
              <w:rPr>
                <w:rFonts w:ascii="Times New Roman" w:hAnsi="Times New Roman" w:eastAsia="仿宋_GB2312"/>
                <w:sz w:val="28"/>
                <w:szCs w:val="28"/>
              </w:rPr>
              <w:t>20</w:t>
            </w:r>
          </w:p>
        </w:tc>
        <w:tc>
          <w:tcPr>
            <w:tcW w:w="1559" w:type="dxa"/>
            <w:tcBorders>
              <w:top w:val="single" w:color="auto" w:sz="4" w:space="0"/>
              <w:left w:val="single" w:color="auto" w:sz="4" w:space="0"/>
              <w:bottom w:val="single" w:color="auto" w:sz="4" w:space="0"/>
              <w:right w:val="single" w:color="auto" w:sz="4" w:space="0"/>
            </w:tcBorders>
            <w:vAlign w:val="center"/>
          </w:tcPr>
          <w:p w14:paraId="2B24D8AF">
            <w:pPr>
              <w:keepNext w:val="0"/>
              <w:keepLines w:val="0"/>
              <w:pageBreakBefore w:val="0"/>
              <w:kinsoku/>
              <w:wordWrap/>
              <w:overflowPunct/>
              <w:topLinePunct w:val="0"/>
              <w:autoSpaceDE/>
              <w:autoSpaceDN/>
              <w:bidi w:val="0"/>
              <w:adjustRightInd w:val="0"/>
              <w:snapToGrid w:val="0"/>
              <w:spacing w:line="560" w:lineRule="exact"/>
              <w:ind w:firstLine="22"/>
              <w:jc w:val="center"/>
              <w:textAlignment w:val="auto"/>
              <w:rPr>
                <w:rFonts w:ascii="Times New Roman" w:hAnsi="Times New Roman" w:eastAsia="仿宋_GB2312"/>
                <w:sz w:val="28"/>
                <w:szCs w:val="28"/>
              </w:rPr>
            </w:pPr>
            <w:r>
              <w:rPr>
                <w:rFonts w:ascii="Times New Roman" w:hAnsi="Times New Roman" w:eastAsia="仿宋_GB2312"/>
                <w:sz w:val="28"/>
                <w:szCs w:val="28"/>
              </w:rPr>
              <w:t>15</w:t>
            </w:r>
          </w:p>
        </w:tc>
        <w:tc>
          <w:tcPr>
            <w:tcW w:w="1390" w:type="dxa"/>
            <w:tcBorders>
              <w:top w:val="single" w:color="auto" w:sz="4" w:space="0"/>
              <w:left w:val="single" w:color="auto" w:sz="4" w:space="0"/>
              <w:bottom w:val="single" w:color="auto" w:sz="4" w:space="0"/>
              <w:right w:val="single" w:color="auto" w:sz="4" w:space="0"/>
            </w:tcBorders>
            <w:vAlign w:val="center"/>
          </w:tcPr>
          <w:p w14:paraId="3F996EF1">
            <w:pPr>
              <w:keepNext w:val="0"/>
              <w:keepLines w:val="0"/>
              <w:pageBreakBefore w:val="0"/>
              <w:kinsoku/>
              <w:wordWrap/>
              <w:overflowPunct/>
              <w:topLinePunct w:val="0"/>
              <w:autoSpaceDE/>
              <w:autoSpaceDN/>
              <w:bidi w:val="0"/>
              <w:adjustRightInd w:val="0"/>
              <w:snapToGrid w:val="0"/>
              <w:spacing w:line="560" w:lineRule="exact"/>
              <w:ind w:firstLine="22"/>
              <w:jc w:val="center"/>
              <w:textAlignment w:val="auto"/>
              <w:rPr>
                <w:rFonts w:ascii="Times New Roman" w:hAnsi="Times New Roman" w:eastAsia="仿宋_GB2312"/>
                <w:sz w:val="28"/>
                <w:szCs w:val="28"/>
              </w:rPr>
            </w:pPr>
            <w:r>
              <w:rPr>
                <w:rFonts w:ascii="Times New Roman" w:hAnsi="Times New Roman" w:eastAsia="仿宋_GB2312"/>
                <w:sz w:val="28"/>
                <w:szCs w:val="28"/>
              </w:rPr>
              <w:t>10</w:t>
            </w:r>
          </w:p>
        </w:tc>
      </w:tr>
      <w:tr w14:paraId="3DEA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2" w:type="dxa"/>
            <w:tcBorders>
              <w:top w:val="single" w:color="auto" w:sz="4" w:space="0"/>
              <w:left w:val="single" w:color="auto" w:sz="4" w:space="0"/>
              <w:bottom w:val="single" w:color="auto" w:sz="4" w:space="0"/>
              <w:right w:val="single" w:color="auto" w:sz="4" w:space="0"/>
            </w:tcBorders>
            <w:vAlign w:val="center"/>
          </w:tcPr>
          <w:p w14:paraId="06E116A7">
            <w:pPr>
              <w:keepNext w:val="0"/>
              <w:keepLines w:val="0"/>
              <w:pageBreakBefore w:val="0"/>
              <w:kinsoku/>
              <w:wordWrap/>
              <w:overflowPunct/>
              <w:topLinePunct w:val="0"/>
              <w:autoSpaceDE/>
              <w:autoSpaceDN/>
              <w:bidi w:val="0"/>
              <w:adjustRightInd w:val="0"/>
              <w:snapToGrid w:val="0"/>
              <w:spacing w:line="560" w:lineRule="exact"/>
              <w:ind w:firstLine="22"/>
              <w:jc w:val="center"/>
              <w:textAlignment w:val="auto"/>
              <w:rPr>
                <w:rFonts w:ascii="Times New Roman" w:hAnsi="Times New Roman" w:eastAsia="仿宋_GB2312"/>
                <w:sz w:val="28"/>
                <w:szCs w:val="28"/>
              </w:rPr>
            </w:pPr>
            <w:r>
              <w:rPr>
                <w:rFonts w:ascii="Times New Roman" w:hAnsi="Times New Roman" w:eastAsia="仿宋_GB2312"/>
                <w:sz w:val="28"/>
                <w:szCs w:val="28"/>
              </w:rPr>
              <w:t>省部级</w:t>
            </w:r>
          </w:p>
        </w:tc>
        <w:tc>
          <w:tcPr>
            <w:tcW w:w="1456" w:type="dxa"/>
            <w:tcBorders>
              <w:top w:val="single" w:color="auto" w:sz="4" w:space="0"/>
              <w:left w:val="single" w:color="auto" w:sz="4" w:space="0"/>
              <w:bottom w:val="single" w:color="auto" w:sz="4" w:space="0"/>
              <w:right w:val="single" w:color="auto" w:sz="4" w:space="0"/>
            </w:tcBorders>
            <w:vAlign w:val="center"/>
          </w:tcPr>
          <w:p w14:paraId="042EB7B3">
            <w:pPr>
              <w:keepNext w:val="0"/>
              <w:keepLines w:val="0"/>
              <w:pageBreakBefore w:val="0"/>
              <w:kinsoku/>
              <w:wordWrap/>
              <w:overflowPunct/>
              <w:topLinePunct w:val="0"/>
              <w:autoSpaceDE/>
              <w:autoSpaceDN/>
              <w:bidi w:val="0"/>
              <w:adjustRightInd w:val="0"/>
              <w:snapToGrid w:val="0"/>
              <w:spacing w:line="560" w:lineRule="exact"/>
              <w:ind w:firstLine="22"/>
              <w:jc w:val="center"/>
              <w:textAlignment w:val="auto"/>
              <w:rPr>
                <w:rFonts w:ascii="Times New Roman" w:hAnsi="Times New Roman" w:eastAsia="仿宋_GB2312"/>
                <w:sz w:val="28"/>
                <w:szCs w:val="28"/>
              </w:rPr>
            </w:pPr>
            <w:r>
              <w:rPr>
                <w:rFonts w:ascii="Times New Roman" w:hAnsi="Times New Roman" w:eastAsia="仿宋_GB2312"/>
                <w:sz w:val="28"/>
                <w:szCs w:val="28"/>
              </w:rPr>
              <w:t>20</w:t>
            </w:r>
          </w:p>
        </w:tc>
        <w:tc>
          <w:tcPr>
            <w:tcW w:w="1574" w:type="dxa"/>
            <w:tcBorders>
              <w:top w:val="single" w:color="auto" w:sz="4" w:space="0"/>
              <w:left w:val="single" w:color="auto" w:sz="4" w:space="0"/>
              <w:bottom w:val="single" w:color="auto" w:sz="4" w:space="0"/>
              <w:right w:val="single" w:color="auto" w:sz="4" w:space="0"/>
            </w:tcBorders>
            <w:vAlign w:val="center"/>
          </w:tcPr>
          <w:p w14:paraId="0F49F5E4">
            <w:pPr>
              <w:keepNext w:val="0"/>
              <w:keepLines w:val="0"/>
              <w:pageBreakBefore w:val="0"/>
              <w:kinsoku/>
              <w:wordWrap/>
              <w:overflowPunct/>
              <w:topLinePunct w:val="0"/>
              <w:autoSpaceDE/>
              <w:autoSpaceDN/>
              <w:bidi w:val="0"/>
              <w:adjustRightInd w:val="0"/>
              <w:snapToGrid w:val="0"/>
              <w:spacing w:line="560" w:lineRule="exact"/>
              <w:ind w:firstLine="22"/>
              <w:jc w:val="center"/>
              <w:textAlignment w:val="auto"/>
              <w:rPr>
                <w:rFonts w:ascii="Times New Roman" w:hAnsi="Times New Roman" w:eastAsia="仿宋_GB2312"/>
                <w:sz w:val="28"/>
                <w:szCs w:val="28"/>
              </w:rPr>
            </w:pPr>
            <w:r>
              <w:rPr>
                <w:rFonts w:ascii="Times New Roman" w:hAnsi="Times New Roman" w:eastAsia="仿宋_GB2312"/>
                <w:sz w:val="28"/>
                <w:szCs w:val="28"/>
              </w:rPr>
              <w:t>15</w:t>
            </w:r>
          </w:p>
        </w:tc>
        <w:tc>
          <w:tcPr>
            <w:tcW w:w="1559" w:type="dxa"/>
            <w:tcBorders>
              <w:top w:val="single" w:color="auto" w:sz="4" w:space="0"/>
              <w:left w:val="single" w:color="auto" w:sz="4" w:space="0"/>
              <w:bottom w:val="single" w:color="auto" w:sz="4" w:space="0"/>
              <w:right w:val="single" w:color="auto" w:sz="4" w:space="0"/>
            </w:tcBorders>
            <w:vAlign w:val="center"/>
          </w:tcPr>
          <w:p w14:paraId="236AF795">
            <w:pPr>
              <w:keepNext w:val="0"/>
              <w:keepLines w:val="0"/>
              <w:pageBreakBefore w:val="0"/>
              <w:kinsoku/>
              <w:wordWrap/>
              <w:overflowPunct/>
              <w:topLinePunct w:val="0"/>
              <w:autoSpaceDE/>
              <w:autoSpaceDN/>
              <w:bidi w:val="0"/>
              <w:adjustRightInd w:val="0"/>
              <w:snapToGrid w:val="0"/>
              <w:spacing w:line="560" w:lineRule="exact"/>
              <w:ind w:firstLine="22"/>
              <w:jc w:val="center"/>
              <w:textAlignment w:val="auto"/>
              <w:rPr>
                <w:rFonts w:ascii="Times New Roman" w:hAnsi="Times New Roman" w:eastAsia="仿宋_GB2312"/>
                <w:sz w:val="28"/>
                <w:szCs w:val="28"/>
              </w:rPr>
            </w:pPr>
            <w:r>
              <w:rPr>
                <w:rFonts w:ascii="Times New Roman" w:hAnsi="Times New Roman" w:eastAsia="仿宋_GB2312"/>
                <w:sz w:val="28"/>
                <w:szCs w:val="28"/>
              </w:rPr>
              <w:t>10</w:t>
            </w:r>
          </w:p>
        </w:tc>
        <w:tc>
          <w:tcPr>
            <w:tcW w:w="1390" w:type="dxa"/>
            <w:tcBorders>
              <w:top w:val="single" w:color="auto" w:sz="4" w:space="0"/>
              <w:left w:val="single" w:color="auto" w:sz="4" w:space="0"/>
              <w:bottom w:val="single" w:color="auto" w:sz="4" w:space="0"/>
              <w:right w:val="single" w:color="auto" w:sz="4" w:space="0"/>
            </w:tcBorders>
            <w:vAlign w:val="center"/>
          </w:tcPr>
          <w:p w14:paraId="59A8DB1B">
            <w:pPr>
              <w:keepNext w:val="0"/>
              <w:keepLines w:val="0"/>
              <w:pageBreakBefore w:val="0"/>
              <w:kinsoku/>
              <w:wordWrap/>
              <w:overflowPunct/>
              <w:topLinePunct w:val="0"/>
              <w:autoSpaceDE/>
              <w:autoSpaceDN/>
              <w:bidi w:val="0"/>
              <w:adjustRightInd w:val="0"/>
              <w:snapToGrid w:val="0"/>
              <w:spacing w:line="560" w:lineRule="exact"/>
              <w:ind w:firstLine="22"/>
              <w:jc w:val="center"/>
              <w:textAlignment w:val="auto"/>
              <w:rPr>
                <w:rFonts w:ascii="Times New Roman" w:hAnsi="Times New Roman" w:eastAsia="仿宋_GB2312"/>
                <w:sz w:val="28"/>
                <w:szCs w:val="28"/>
              </w:rPr>
            </w:pPr>
            <w:r>
              <w:rPr>
                <w:rFonts w:ascii="Times New Roman" w:hAnsi="Times New Roman" w:eastAsia="仿宋_GB2312"/>
                <w:sz w:val="28"/>
                <w:szCs w:val="28"/>
              </w:rPr>
              <w:t>5</w:t>
            </w:r>
          </w:p>
        </w:tc>
      </w:tr>
      <w:tr w14:paraId="4A5BD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2" w:type="dxa"/>
            <w:tcBorders>
              <w:top w:val="single" w:color="auto" w:sz="4" w:space="0"/>
              <w:left w:val="single" w:color="auto" w:sz="4" w:space="0"/>
              <w:bottom w:val="single" w:color="auto" w:sz="4" w:space="0"/>
              <w:right w:val="single" w:color="auto" w:sz="4" w:space="0"/>
            </w:tcBorders>
            <w:vAlign w:val="center"/>
          </w:tcPr>
          <w:p w14:paraId="679809D1">
            <w:pPr>
              <w:keepNext w:val="0"/>
              <w:keepLines w:val="0"/>
              <w:pageBreakBefore w:val="0"/>
              <w:kinsoku/>
              <w:wordWrap/>
              <w:overflowPunct/>
              <w:topLinePunct w:val="0"/>
              <w:autoSpaceDE/>
              <w:autoSpaceDN/>
              <w:bidi w:val="0"/>
              <w:adjustRightInd w:val="0"/>
              <w:snapToGrid w:val="0"/>
              <w:spacing w:line="560" w:lineRule="exact"/>
              <w:ind w:firstLine="22"/>
              <w:jc w:val="center"/>
              <w:textAlignment w:val="auto"/>
              <w:rPr>
                <w:rFonts w:ascii="Times New Roman" w:hAnsi="Times New Roman" w:eastAsia="仿宋_GB2312"/>
                <w:sz w:val="28"/>
                <w:szCs w:val="28"/>
              </w:rPr>
            </w:pPr>
            <w:r>
              <w:rPr>
                <w:rFonts w:ascii="Times New Roman" w:hAnsi="Times New Roman" w:eastAsia="仿宋_GB2312"/>
                <w:sz w:val="28"/>
                <w:szCs w:val="28"/>
              </w:rPr>
              <w:t>校级</w:t>
            </w:r>
          </w:p>
        </w:tc>
        <w:tc>
          <w:tcPr>
            <w:tcW w:w="1456" w:type="dxa"/>
            <w:tcBorders>
              <w:top w:val="single" w:color="auto" w:sz="4" w:space="0"/>
              <w:left w:val="single" w:color="auto" w:sz="4" w:space="0"/>
              <w:bottom w:val="single" w:color="auto" w:sz="4" w:space="0"/>
              <w:right w:val="single" w:color="auto" w:sz="4" w:space="0"/>
            </w:tcBorders>
            <w:vAlign w:val="center"/>
          </w:tcPr>
          <w:p w14:paraId="4EBD92EE">
            <w:pPr>
              <w:keepNext w:val="0"/>
              <w:keepLines w:val="0"/>
              <w:pageBreakBefore w:val="0"/>
              <w:kinsoku/>
              <w:wordWrap/>
              <w:overflowPunct/>
              <w:topLinePunct w:val="0"/>
              <w:autoSpaceDE/>
              <w:autoSpaceDN/>
              <w:bidi w:val="0"/>
              <w:adjustRightInd w:val="0"/>
              <w:snapToGrid w:val="0"/>
              <w:spacing w:line="560" w:lineRule="exact"/>
              <w:ind w:firstLine="22"/>
              <w:jc w:val="center"/>
              <w:textAlignment w:val="auto"/>
              <w:rPr>
                <w:rFonts w:ascii="Times New Roman" w:hAnsi="Times New Roman" w:eastAsia="仿宋_GB2312"/>
                <w:sz w:val="28"/>
                <w:szCs w:val="28"/>
              </w:rPr>
            </w:pPr>
            <w:r>
              <w:rPr>
                <w:rFonts w:ascii="Times New Roman" w:hAnsi="Times New Roman" w:eastAsia="仿宋_GB2312"/>
                <w:sz w:val="28"/>
                <w:szCs w:val="28"/>
              </w:rPr>
              <w:t>8</w:t>
            </w:r>
          </w:p>
        </w:tc>
        <w:tc>
          <w:tcPr>
            <w:tcW w:w="1574" w:type="dxa"/>
            <w:tcBorders>
              <w:top w:val="single" w:color="auto" w:sz="4" w:space="0"/>
              <w:left w:val="single" w:color="auto" w:sz="4" w:space="0"/>
              <w:bottom w:val="single" w:color="auto" w:sz="4" w:space="0"/>
              <w:right w:val="single" w:color="auto" w:sz="4" w:space="0"/>
            </w:tcBorders>
            <w:vAlign w:val="center"/>
          </w:tcPr>
          <w:p w14:paraId="59BAA5E7">
            <w:pPr>
              <w:keepNext w:val="0"/>
              <w:keepLines w:val="0"/>
              <w:pageBreakBefore w:val="0"/>
              <w:kinsoku/>
              <w:wordWrap/>
              <w:overflowPunct/>
              <w:topLinePunct w:val="0"/>
              <w:autoSpaceDE/>
              <w:autoSpaceDN/>
              <w:bidi w:val="0"/>
              <w:adjustRightInd w:val="0"/>
              <w:snapToGrid w:val="0"/>
              <w:spacing w:line="560" w:lineRule="exact"/>
              <w:ind w:firstLine="22"/>
              <w:jc w:val="center"/>
              <w:textAlignment w:val="auto"/>
              <w:rPr>
                <w:rFonts w:ascii="Times New Roman" w:hAnsi="Times New Roman" w:eastAsia="仿宋_GB2312"/>
                <w:sz w:val="28"/>
                <w:szCs w:val="28"/>
              </w:rPr>
            </w:pPr>
            <w:r>
              <w:rPr>
                <w:rFonts w:ascii="Times New Roman" w:hAnsi="Times New Roman" w:eastAsia="仿宋_GB2312"/>
                <w:sz w:val="28"/>
                <w:szCs w:val="28"/>
              </w:rPr>
              <w:t>6</w:t>
            </w:r>
          </w:p>
        </w:tc>
        <w:tc>
          <w:tcPr>
            <w:tcW w:w="1559" w:type="dxa"/>
            <w:tcBorders>
              <w:top w:val="single" w:color="auto" w:sz="4" w:space="0"/>
              <w:left w:val="single" w:color="auto" w:sz="4" w:space="0"/>
              <w:bottom w:val="single" w:color="auto" w:sz="4" w:space="0"/>
              <w:right w:val="single" w:color="auto" w:sz="4" w:space="0"/>
            </w:tcBorders>
            <w:vAlign w:val="center"/>
          </w:tcPr>
          <w:p w14:paraId="687B68E8">
            <w:pPr>
              <w:keepNext w:val="0"/>
              <w:keepLines w:val="0"/>
              <w:pageBreakBefore w:val="0"/>
              <w:kinsoku/>
              <w:wordWrap/>
              <w:overflowPunct/>
              <w:topLinePunct w:val="0"/>
              <w:autoSpaceDE/>
              <w:autoSpaceDN/>
              <w:bidi w:val="0"/>
              <w:adjustRightInd w:val="0"/>
              <w:snapToGrid w:val="0"/>
              <w:spacing w:line="560" w:lineRule="exact"/>
              <w:ind w:firstLine="22"/>
              <w:jc w:val="center"/>
              <w:textAlignment w:val="auto"/>
              <w:rPr>
                <w:rFonts w:ascii="Times New Roman" w:hAnsi="Times New Roman" w:eastAsia="仿宋_GB2312"/>
                <w:sz w:val="28"/>
                <w:szCs w:val="28"/>
              </w:rPr>
            </w:pPr>
            <w:r>
              <w:rPr>
                <w:rFonts w:ascii="Times New Roman" w:hAnsi="Times New Roman" w:eastAsia="仿宋_GB2312"/>
                <w:sz w:val="28"/>
                <w:szCs w:val="28"/>
              </w:rPr>
              <w:t>4</w:t>
            </w:r>
          </w:p>
        </w:tc>
        <w:tc>
          <w:tcPr>
            <w:tcW w:w="1390" w:type="dxa"/>
            <w:tcBorders>
              <w:top w:val="single" w:color="auto" w:sz="4" w:space="0"/>
              <w:left w:val="single" w:color="auto" w:sz="4" w:space="0"/>
              <w:bottom w:val="single" w:color="auto" w:sz="4" w:space="0"/>
              <w:right w:val="single" w:color="auto" w:sz="4" w:space="0"/>
            </w:tcBorders>
            <w:vAlign w:val="center"/>
          </w:tcPr>
          <w:p w14:paraId="61746BE3">
            <w:pPr>
              <w:keepNext w:val="0"/>
              <w:keepLines w:val="0"/>
              <w:pageBreakBefore w:val="0"/>
              <w:kinsoku/>
              <w:wordWrap/>
              <w:overflowPunct/>
              <w:topLinePunct w:val="0"/>
              <w:autoSpaceDE/>
              <w:autoSpaceDN/>
              <w:bidi w:val="0"/>
              <w:adjustRightInd w:val="0"/>
              <w:snapToGrid w:val="0"/>
              <w:spacing w:line="560" w:lineRule="exact"/>
              <w:ind w:firstLine="22"/>
              <w:jc w:val="center"/>
              <w:textAlignment w:val="auto"/>
              <w:rPr>
                <w:rFonts w:ascii="Times New Roman" w:hAnsi="Times New Roman" w:eastAsia="仿宋_GB2312"/>
                <w:sz w:val="28"/>
                <w:szCs w:val="28"/>
              </w:rPr>
            </w:pPr>
            <w:r>
              <w:rPr>
                <w:rFonts w:ascii="Times New Roman" w:hAnsi="Times New Roman" w:eastAsia="仿宋_GB2312"/>
                <w:sz w:val="28"/>
                <w:szCs w:val="28"/>
              </w:rPr>
              <w:t>2</w:t>
            </w:r>
          </w:p>
        </w:tc>
      </w:tr>
    </w:tbl>
    <w:p w14:paraId="27CCA4EA">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p>
    <w:p w14:paraId="189DC5A0">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rPr>
        <w:t>1.</w:t>
      </w:r>
      <w:r>
        <w:rPr>
          <w:rFonts w:ascii="Times New Roman" w:hAnsi="Times New Roman" w:eastAsia="仿宋_GB2312" w:cs="宋体"/>
          <w:kern w:val="0"/>
          <w:sz w:val="32"/>
          <w:szCs w:val="28"/>
        </w:rPr>
        <w:t>除了学校组织的运动会，其余体育比赛均需体育</w:t>
      </w:r>
      <w:r>
        <w:rPr>
          <w:rFonts w:hint="eastAsia" w:ascii="Times New Roman" w:hAnsi="Times New Roman" w:eastAsia="仿宋_GB2312" w:cs="宋体"/>
          <w:kern w:val="0"/>
          <w:sz w:val="32"/>
          <w:szCs w:val="28"/>
        </w:rPr>
        <w:t>系</w:t>
      </w:r>
      <w:r>
        <w:rPr>
          <w:rFonts w:ascii="Times New Roman" w:hAnsi="Times New Roman" w:eastAsia="仿宋_GB2312" w:cs="宋体"/>
          <w:kern w:val="0"/>
          <w:sz w:val="32"/>
          <w:szCs w:val="28"/>
        </w:rPr>
        <w:t>或者校</w:t>
      </w:r>
      <w:r>
        <w:rPr>
          <w:rFonts w:hint="eastAsia" w:ascii="Times New Roman" w:hAnsi="Times New Roman" w:eastAsia="仿宋_GB2312" w:cs="宋体"/>
          <w:kern w:val="0"/>
          <w:sz w:val="32"/>
          <w:szCs w:val="28"/>
        </w:rPr>
        <w:t>区</w:t>
      </w:r>
      <w:r>
        <w:rPr>
          <w:rFonts w:ascii="Times New Roman" w:hAnsi="Times New Roman" w:eastAsia="仿宋_GB2312" w:cs="宋体"/>
          <w:kern w:val="0"/>
          <w:sz w:val="32"/>
          <w:szCs w:val="28"/>
        </w:rPr>
        <w:t>团委等相关</w:t>
      </w:r>
      <w:bookmarkStart w:id="1" w:name="_Hlk479584384"/>
      <w:r>
        <w:rPr>
          <w:rFonts w:ascii="Times New Roman" w:hAnsi="Times New Roman" w:eastAsia="仿宋_GB2312" w:cs="宋体"/>
          <w:kern w:val="0"/>
          <w:sz w:val="32"/>
          <w:szCs w:val="28"/>
        </w:rPr>
        <w:t>负责部门认定</w:t>
      </w:r>
      <w:bookmarkEnd w:id="1"/>
      <w:r>
        <w:rPr>
          <w:rFonts w:ascii="Times New Roman" w:hAnsi="Times New Roman" w:eastAsia="仿宋_GB2312" w:cs="宋体"/>
          <w:kern w:val="0"/>
          <w:sz w:val="32"/>
          <w:szCs w:val="28"/>
        </w:rPr>
        <w:t>后</w:t>
      </w:r>
      <w:r>
        <w:rPr>
          <w:rFonts w:hint="eastAsia" w:ascii="Times New Roman" w:hAnsi="Times New Roman" w:eastAsia="仿宋_GB2312" w:cs="宋体"/>
          <w:kern w:val="0"/>
          <w:sz w:val="32"/>
          <w:szCs w:val="28"/>
        </w:rPr>
        <w:t>才</w:t>
      </w:r>
      <w:r>
        <w:rPr>
          <w:rFonts w:ascii="Times New Roman" w:hAnsi="Times New Roman" w:eastAsia="仿宋_GB2312" w:cs="宋体"/>
          <w:kern w:val="0"/>
          <w:sz w:val="32"/>
          <w:szCs w:val="28"/>
        </w:rPr>
        <w:t>可按照学生手册加分。</w:t>
      </w:r>
    </w:p>
    <w:p w14:paraId="65138818">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r>
        <w:rPr>
          <w:rFonts w:ascii="Times New Roman" w:hAnsi="Times New Roman" w:eastAsia="仿宋_GB2312" w:cs="宋体"/>
          <w:kern w:val="0"/>
          <w:sz w:val="32"/>
          <w:szCs w:val="28"/>
        </w:rPr>
        <w:t>2.参加校级</w:t>
      </w:r>
      <w:r>
        <w:rPr>
          <w:rFonts w:hint="eastAsia" w:ascii="Times New Roman" w:hAnsi="Times New Roman" w:eastAsia="仿宋_GB2312" w:cs="宋体"/>
          <w:kern w:val="0"/>
          <w:sz w:val="32"/>
          <w:szCs w:val="28"/>
        </w:rPr>
        <w:t>及以上大学生</w:t>
      </w:r>
      <w:r>
        <w:rPr>
          <w:rFonts w:ascii="Times New Roman" w:hAnsi="Times New Roman" w:eastAsia="仿宋_GB2312" w:cs="宋体"/>
          <w:kern w:val="0"/>
          <w:sz w:val="32"/>
          <w:szCs w:val="28"/>
        </w:rPr>
        <w:t>运动会但未获奖的加1分，获得名次者按学生手册加分。</w:t>
      </w:r>
    </w:p>
    <w:p w14:paraId="525520EE">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r>
        <w:rPr>
          <w:rFonts w:ascii="Times New Roman" w:hAnsi="Times New Roman" w:eastAsia="仿宋_GB2312" w:cs="宋体"/>
          <w:kern w:val="0"/>
          <w:sz w:val="32"/>
          <w:szCs w:val="28"/>
        </w:rPr>
        <w:t>3</w:t>
      </w:r>
      <w:r>
        <w:rPr>
          <w:rFonts w:hint="eastAsia" w:ascii="Times New Roman" w:hAnsi="Times New Roman" w:eastAsia="仿宋_GB2312" w:cs="宋体"/>
          <w:kern w:val="0"/>
          <w:sz w:val="32"/>
          <w:szCs w:val="28"/>
        </w:rPr>
        <w:t>.集体项目队员按照奖励分的</w:t>
      </w:r>
      <w:r>
        <w:rPr>
          <w:rFonts w:ascii="Times New Roman" w:hAnsi="Times New Roman" w:eastAsia="仿宋_GB2312" w:cs="宋体"/>
          <w:kern w:val="0"/>
          <w:sz w:val="32"/>
          <w:szCs w:val="28"/>
        </w:rPr>
        <w:t>2/3加分</w:t>
      </w:r>
      <w:r>
        <w:rPr>
          <w:rFonts w:hint="eastAsia" w:ascii="Times New Roman" w:hAnsi="Times New Roman" w:eastAsia="仿宋_GB2312" w:cs="宋体"/>
          <w:kern w:val="0"/>
          <w:sz w:val="32"/>
          <w:szCs w:val="28"/>
        </w:rPr>
        <w:t>。</w:t>
      </w:r>
    </w:p>
    <w:p w14:paraId="74271690">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r>
        <w:rPr>
          <w:rFonts w:ascii="Times New Roman" w:hAnsi="Times New Roman" w:eastAsia="仿宋_GB2312" w:cs="宋体"/>
          <w:kern w:val="0"/>
          <w:sz w:val="32"/>
          <w:szCs w:val="28"/>
        </w:rPr>
        <w:t>4</w:t>
      </w:r>
      <w:r>
        <w:rPr>
          <w:rFonts w:hint="eastAsia" w:ascii="Times New Roman" w:hAnsi="Times New Roman" w:eastAsia="仿宋_GB2312" w:cs="宋体"/>
          <w:kern w:val="0"/>
          <w:sz w:val="32"/>
          <w:szCs w:val="28"/>
        </w:rPr>
        <w:t>.体育加分项最多可以累加两项，其中最多只能有一项球类项目。</w:t>
      </w:r>
    </w:p>
    <w:p w14:paraId="1A9989C1">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黑体" w:hAnsi="黑体" w:eastAsia="黑体" w:cs="黑体"/>
          <w:kern w:val="0"/>
          <w:sz w:val="32"/>
          <w:szCs w:val="28"/>
        </w:rPr>
      </w:pPr>
      <w:r>
        <w:rPr>
          <w:rFonts w:hint="eastAsia" w:ascii="黑体" w:hAnsi="黑体" w:eastAsia="黑体" w:cs="黑体"/>
          <w:kern w:val="0"/>
          <w:sz w:val="32"/>
          <w:szCs w:val="28"/>
        </w:rPr>
        <w:t>第四条 综合测评工作程序</w:t>
      </w:r>
    </w:p>
    <w:p w14:paraId="0F465E4C">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r>
        <w:rPr>
          <w:rFonts w:ascii="Times New Roman" w:hAnsi="Times New Roman" w:eastAsia="仿宋_GB2312" w:cs="宋体"/>
          <w:kern w:val="0"/>
          <w:sz w:val="32"/>
          <w:szCs w:val="28"/>
        </w:rPr>
        <w:t>1</w:t>
      </w:r>
      <w:r>
        <w:rPr>
          <w:rFonts w:hint="eastAsia" w:ascii="Times New Roman" w:hAnsi="Times New Roman" w:eastAsia="仿宋_GB2312" w:cs="宋体"/>
          <w:kern w:val="0"/>
          <w:sz w:val="32"/>
          <w:szCs w:val="28"/>
        </w:rPr>
        <w:t>.由辅导员向全体学生宣讲《中国石油大学（北京）克拉玛依</w:t>
      </w:r>
      <w:r>
        <w:rPr>
          <w:rFonts w:ascii="Times New Roman" w:hAnsi="Times New Roman" w:eastAsia="仿宋_GB2312" w:cs="宋体"/>
          <w:kern w:val="0"/>
          <w:sz w:val="32"/>
          <w:szCs w:val="28"/>
        </w:rPr>
        <w:t>校区</w:t>
      </w:r>
      <w:r>
        <w:rPr>
          <w:rFonts w:hint="eastAsia" w:ascii="Times New Roman" w:hAnsi="Times New Roman" w:eastAsia="仿宋_GB2312" w:cs="宋体"/>
          <w:kern w:val="0"/>
          <w:sz w:val="32"/>
          <w:szCs w:val="28"/>
        </w:rPr>
        <w:t>本科生综合测评办法》和《</w:t>
      </w:r>
      <w:r>
        <w:rPr>
          <w:rFonts w:hint="eastAsia" w:ascii="Times New Roman" w:hAnsi="Times New Roman" w:eastAsia="仿宋_GB2312" w:cs="宋体"/>
          <w:kern w:val="0"/>
          <w:sz w:val="32"/>
          <w:szCs w:val="28"/>
          <w:lang w:val="en-US" w:eastAsia="zh-CN"/>
        </w:rPr>
        <w:t>2025年</w:t>
      </w:r>
      <w:r>
        <w:rPr>
          <w:rFonts w:hint="eastAsia" w:ascii="Times New Roman" w:hAnsi="Times New Roman" w:eastAsia="仿宋_GB2312" w:cs="宋体"/>
          <w:kern w:val="0"/>
          <w:sz w:val="32"/>
          <w:szCs w:val="28"/>
        </w:rPr>
        <w:t>文理学院</w:t>
      </w:r>
      <w:r>
        <w:rPr>
          <w:rFonts w:hint="eastAsia" w:ascii="Times New Roman" w:hAnsi="Times New Roman" w:eastAsia="仿宋_GB2312" w:cs="宋体"/>
          <w:kern w:val="0"/>
          <w:sz w:val="32"/>
          <w:szCs w:val="28"/>
          <w:lang w:val="en-US" w:eastAsia="zh-CN"/>
        </w:rPr>
        <w:t>/文化艺术学院</w:t>
      </w:r>
      <w:r>
        <w:rPr>
          <w:rFonts w:hint="eastAsia" w:ascii="Times New Roman" w:hAnsi="Times New Roman" w:eastAsia="仿宋_GB2312" w:cs="宋体"/>
          <w:kern w:val="0"/>
          <w:sz w:val="32"/>
          <w:szCs w:val="28"/>
        </w:rPr>
        <w:t>本科生综合测评</w:t>
      </w:r>
      <w:r>
        <w:rPr>
          <w:rFonts w:hint="eastAsia" w:ascii="Times New Roman" w:hAnsi="Times New Roman" w:eastAsia="仿宋_GB2312" w:cs="宋体"/>
          <w:kern w:val="0"/>
          <w:sz w:val="32"/>
          <w:szCs w:val="28"/>
          <w:lang w:val="en-US" w:eastAsia="zh-CN"/>
        </w:rPr>
        <w:t>补充条例</w:t>
      </w:r>
      <w:r>
        <w:rPr>
          <w:rFonts w:hint="eastAsia" w:ascii="Times New Roman" w:hAnsi="Times New Roman" w:eastAsia="仿宋_GB2312" w:cs="宋体"/>
          <w:kern w:val="0"/>
          <w:sz w:val="32"/>
          <w:szCs w:val="28"/>
        </w:rPr>
        <w:t>》；</w:t>
      </w:r>
    </w:p>
    <w:p w14:paraId="199C5165">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r>
        <w:rPr>
          <w:rFonts w:ascii="Times New Roman" w:hAnsi="Times New Roman" w:eastAsia="仿宋_GB2312" w:cs="宋体"/>
          <w:kern w:val="0"/>
          <w:sz w:val="32"/>
          <w:szCs w:val="28"/>
        </w:rPr>
        <w:t>2</w:t>
      </w:r>
      <w:r>
        <w:rPr>
          <w:rFonts w:hint="eastAsia" w:ascii="Times New Roman" w:hAnsi="Times New Roman" w:eastAsia="仿宋_GB2312" w:cs="宋体"/>
          <w:kern w:val="0"/>
          <w:sz w:val="32"/>
          <w:szCs w:val="28"/>
        </w:rPr>
        <w:t>.学生综合测评每学年进行一次，以同年级同专业为测评单位，辅导员为此项工作的直接责任人；</w:t>
      </w:r>
    </w:p>
    <w:p w14:paraId="1CEB439F">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rPr>
        <w:t>3.以班为单位成立综合测评小组，由辅导员、班主任、班长、团支部书记及学生代表组成，成员数占学生数的1/3以上；</w:t>
      </w:r>
    </w:p>
    <w:p w14:paraId="088DD985">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rPr>
        <w:t>4.综合测评工作应根据当年学院安排开展和公示，公示完毕无异议后则作为最终结果。</w:t>
      </w:r>
    </w:p>
    <w:p w14:paraId="44DE83FB">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rPr>
        <w:t xml:space="preserve">第五条 </w:t>
      </w:r>
      <w:r>
        <w:rPr>
          <w:rFonts w:ascii="Times New Roman" w:hAnsi="Times New Roman" w:eastAsia="仿宋_GB2312" w:cs="宋体"/>
          <w:kern w:val="0"/>
          <w:sz w:val="32"/>
          <w:szCs w:val="28"/>
        </w:rPr>
        <w:t>本</w:t>
      </w:r>
      <w:r>
        <w:rPr>
          <w:rFonts w:hint="eastAsia" w:ascii="Times New Roman" w:hAnsi="Times New Roman" w:eastAsia="仿宋_GB2312" w:cs="宋体"/>
          <w:kern w:val="0"/>
          <w:sz w:val="32"/>
          <w:szCs w:val="28"/>
          <w:lang w:val="en-US" w:eastAsia="zh-CN"/>
        </w:rPr>
        <w:t>条例</w:t>
      </w:r>
      <w:r>
        <w:rPr>
          <w:rFonts w:ascii="Times New Roman" w:hAnsi="Times New Roman" w:eastAsia="仿宋_GB2312" w:cs="宋体"/>
          <w:kern w:val="0"/>
          <w:sz w:val="32"/>
          <w:szCs w:val="28"/>
        </w:rPr>
        <w:t>自发布之日起实施，未尽事宜由</w:t>
      </w:r>
      <w:r>
        <w:rPr>
          <w:rFonts w:hint="eastAsia" w:ascii="Times New Roman" w:hAnsi="Times New Roman" w:eastAsia="仿宋_GB2312" w:cs="宋体"/>
          <w:kern w:val="0"/>
          <w:sz w:val="32"/>
          <w:szCs w:val="28"/>
        </w:rPr>
        <w:t>文理</w:t>
      </w:r>
      <w:r>
        <w:rPr>
          <w:rFonts w:ascii="Times New Roman" w:hAnsi="Times New Roman" w:eastAsia="仿宋_GB2312" w:cs="宋体"/>
          <w:kern w:val="0"/>
          <w:sz w:val="32"/>
          <w:szCs w:val="28"/>
        </w:rPr>
        <w:t>学院</w:t>
      </w:r>
      <w:r>
        <w:rPr>
          <w:rFonts w:hint="eastAsia" w:ascii="Times New Roman" w:hAnsi="Times New Roman" w:eastAsia="仿宋_GB2312" w:cs="宋体"/>
          <w:kern w:val="0"/>
          <w:sz w:val="32"/>
          <w:szCs w:val="28"/>
          <w:lang w:val="en-US" w:eastAsia="zh-CN"/>
        </w:rPr>
        <w:t>/文化艺术学院学生工作</w:t>
      </w:r>
      <w:r>
        <w:rPr>
          <w:rFonts w:ascii="Times New Roman" w:hAnsi="Times New Roman" w:eastAsia="仿宋_GB2312" w:cs="宋体"/>
          <w:kern w:val="0"/>
          <w:sz w:val="32"/>
          <w:szCs w:val="28"/>
        </w:rPr>
        <w:t>办公室负责解释。</w:t>
      </w:r>
    </w:p>
    <w:p w14:paraId="5E6AD9A8">
      <w:pPr>
        <w:keepNext w:val="0"/>
        <w:keepLines w:val="0"/>
        <w:pageBreakBefore w:val="0"/>
        <w:widowControl/>
        <w:kinsoku/>
        <w:wordWrap/>
        <w:overflowPunct/>
        <w:topLinePunct w:val="0"/>
        <w:autoSpaceDE/>
        <w:autoSpaceDN/>
        <w:bidi w:val="0"/>
        <w:spacing w:line="560" w:lineRule="exact"/>
        <w:jc w:val="left"/>
        <w:textAlignment w:val="auto"/>
        <w:rPr>
          <w:rFonts w:ascii="Times New Roman" w:hAnsi="Times New Roman" w:eastAsia="仿宋_GB2312" w:cs="宋体"/>
          <w:kern w:val="0"/>
          <w:sz w:val="32"/>
          <w:szCs w:val="28"/>
        </w:rPr>
        <w:sectPr>
          <w:pgSz w:w="11906" w:h="16838"/>
          <w:pgMar w:top="2098" w:right="1474" w:bottom="1984" w:left="1587" w:header="567" w:footer="567" w:gutter="0"/>
          <w:cols w:space="425" w:num="1"/>
          <w:docGrid w:type="lines" w:linePitch="312" w:charSpace="0"/>
        </w:sectPr>
      </w:pPr>
    </w:p>
    <w:p w14:paraId="78C255F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b/>
          <w:bCs/>
          <w:sz w:val="32"/>
        </w:rPr>
      </w:pPr>
      <w:r>
        <w:rPr>
          <w:rFonts w:hint="eastAsia" w:ascii="Times New Roman" w:hAnsi="Times New Roman" w:eastAsia="仿宋_GB2312"/>
          <w:b/>
          <w:bCs/>
          <w:sz w:val="32"/>
        </w:rPr>
        <w:t>附件1：</w:t>
      </w:r>
    </w:p>
    <w:p w14:paraId="1659E71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b/>
          <w:bCs/>
          <w:sz w:val="32"/>
        </w:rPr>
      </w:pPr>
    </w:p>
    <w:p w14:paraId="52699277">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32"/>
          <w:szCs w:val="30"/>
        </w:rPr>
      </w:pPr>
      <w:r>
        <w:rPr>
          <w:rFonts w:hint="eastAsia" w:ascii="Times New Roman" w:hAnsi="Times New Roman" w:eastAsia="仿宋_GB2312"/>
          <w:sz w:val="32"/>
          <w:szCs w:val="30"/>
        </w:rPr>
        <w:t>团队比赛获奖项目赋分明细表</w:t>
      </w:r>
    </w:p>
    <w:p w14:paraId="3724CB0E">
      <w:pPr>
        <w:keepNext w:val="0"/>
        <w:keepLines w:val="0"/>
        <w:pageBreakBefore w:val="0"/>
        <w:widowControl/>
        <w:kinsoku/>
        <w:wordWrap/>
        <w:overflowPunct/>
        <w:topLinePunct w:val="0"/>
        <w:autoSpaceDE/>
        <w:autoSpaceDN/>
        <w:bidi w:val="0"/>
        <w:spacing w:line="560" w:lineRule="exact"/>
        <w:jc w:val="left"/>
        <w:textAlignment w:val="auto"/>
        <w:rPr>
          <w:rFonts w:ascii="Times New Roman" w:hAnsi="Times New Roman" w:eastAsia="仿宋_GB2312"/>
          <w:sz w:val="32"/>
        </w:rPr>
      </w:pPr>
    </w:p>
    <w:tbl>
      <w:tblPr>
        <w:tblStyle w:val="6"/>
        <w:tblW w:w="138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2551"/>
        <w:gridCol w:w="2410"/>
        <w:gridCol w:w="2977"/>
        <w:gridCol w:w="1365"/>
        <w:gridCol w:w="3171"/>
      </w:tblGrid>
      <w:tr w14:paraId="1E5F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8" w:type="dxa"/>
            <w:vAlign w:val="center"/>
          </w:tcPr>
          <w:p w14:paraId="198E9A2D">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r>
              <w:rPr>
                <w:rFonts w:hint="eastAsia" w:ascii="Times New Roman" w:hAnsi="Times New Roman" w:eastAsia="仿宋_GB2312"/>
                <w:sz w:val="28"/>
                <w:szCs w:val="24"/>
              </w:rPr>
              <w:t>竞赛名称</w:t>
            </w:r>
          </w:p>
        </w:tc>
        <w:tc>
          <w:tcPr>
            <w:tcW w:w="7938" w:type="dxa"/>
            <w:gridSpan w:val="3"/>
            <w:vAlign w:val="center"/>
          </w:tcPr>
          <w:p w14:paraId="0EBD6BC5">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p>
        </w:tc>
        <w:tc>
          <w:tcPr>
            <w:tcW w:w="1365" w:type="dxa"/>
            <w:vAlign w:val="center"/>
          </w:tcPr>
          <w:p w14:paraId="13DC199E">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r>
              <w:rPr>
                <w:rFonts w:hint="eastAsia" w:ascii="Times New Roman" w:hAnsi="Times New Roman" w:eastAsia="仿宋_GB2312"/>
                <w:sz w:val="28"/>
                <w:szCs w:val="24"/>
              </w:rPr>
              <w:t>获奖时间</w:t>
            </w:r>
          </w:p>
        </w:tc>
        <w:tc>
          <w:tcPr>
            <w:tcW w:w="3171" w:type="dxa"/>
            <w:vAlign w:val="center"/>
          </w:tcPr>
          <w:p w14:paraId="7DCF8CF3">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r>
              <w:rPr>
                <w:rFonts w:hint="eastAsia" w:ascii="Times New Roman" w:hAnsi="Times New Roman" w:eastAsia="仿宋_GB2312"/>
                <w:sz w:val="28"/>
                <w:szCs w:val="24"/>
              </w:rPr>
              <w:t>X</w:t>
            </w:r>
            <w:r>
              <w:rPr>
                <w:rFonts w:ascii="Times New Roman" w:hAnsi="Times New Roman" w:eastAsia="仿宋_GB2312"/>
                <w:sz w:val="28"/>
                <w:szCs w:val="24"/>
              </w:rPr>
              <w:t>X</w:t>
            </w:r>
            <w:r>
              <w:rPr>
                <w:rFonts w:hint="eastAsia" w:ascii="Times New Roman" w:hAnsi="Times New Roman" w:eastAsia="仿宋_GB2312"/>
                <w:sz w:val="28"/>
                <w:szCs w:val="24"/>
              </w:rPr>
              <w:t>年X</w:t>
            </w:r>
            <w:r>
              <w:rPr>
                <w:rFonts w:ascii="Times New Roman" w:hAnsi="Times New Roman" w:eastAsia="仿宋_GB2312"/>
                <w:sz w:val="28"/>
                <w:szCs w:val="24"/>
              </w:rPr>
              <w:t>X</w:t>
            </w:r>
            <w:r>
              <w:rPr>
                <w:rFonts w:hint="eastAsia" w:ascii="Times New Roman" w:hAnsi="Times New Roman" w:eastAsia="仿宋_GB2312"/>
                <w:sz w:val="28"/>
                <w:szCs w:val="24"/>
              </w:rPr>
              <w:t>月</w:t>
            </w:r>
          </w:p>
        </w:tc>
      </w:tr>
      <w:tr w14:paraId="6477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8" w:type="dxa"/>
            <w:vAlign w:val="center"/>
          </w:tcPr>
          <w:p w14:paraId="4695E039">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r>
              <w:rPr>
                <w:rFonts w:hint="eastAsia" w:ascii="Times New Roman" w:hAnsi="Times New Roman" w:eastAsia="仿宋_GB2312"/>
                <w:sz w:val="28"/>
                <w:szCs w:val="24"/>
              </w:rPr>
              <w:t>奖项</w:t>
            </w:r>
          </w:p>
        </w:tc>
        <w:tc>
          <w:tcPr>
            <w:tcW w:w="7938" w:type="dxa"/>
            <w:gridSpan w:val="3"/>
            <w:vAlign w:val="center"/>
          </w:tcPr>
          <w:p w14:paraId="7EC7C72A">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r>
              <w:rPr>
                <w:rFonts w:hint="eastAsia" w:ascii="Times New Roman" w:hAnsi="Times New Roman" w:eastAsia="仿宋_GB2312"/>
                <w:sz w:val="28"/>
                <w:szCs w:val="24"/>
              </w:rPr>
              <w:t>例：一等奖、二等奖……</w:t>
            </w:r>
          </w:p>
        </w:tc>
        <w:tc>
          <w:tcPr>
            <w:tcW w:w="1365" w:type="dxa"/>
            <w:vMerge w:val="restart"/>
            <w:vAlign w:val="center"/>
          </w:tcPr>
          <w:p w14:paraId="51309C01">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r>
              <w:rPr>
                <w:rFonts w:hint="eastAsia" w:ascii="Times New Roman" w:hAnsi="Times New Roman" w:eastAsia="仿宋_GB2312"/>
                <w:sz w:val="28"/>
                <w:szCs w:val="24"/>
              </w:rPr>
              <w:t>竞赛类别</w:t>
            </w:r>
          </w:p>
        </w:tc>
        <w:tc>
          <w:tcPr>
            <w:tcW w:w="3171" w:type="dxa"/>
            <w:vMerge w:val="restart"/>
            <w:vAlign w:val="center"/>
          </w:tcPr>
          <w:p w14:paraId="50DDB50B">
            <w:pPr>
              <w:pStyle w:val="8"/>
              <w:keepNext w:val="0"/>
              <w:keepLines w:val="0"/>
              <w:pageBreakBefore w:val="0"/>
              <w:kinsoku/>
              <w:wordWrap/>
              <w:overflowPunct/>
              <w:topLinePunct w:val="0"/>
              <w:autoSpaceDE/>
              <w:autoSpaceDN/>
              <w:bidi w:val="0"/>
              <w:spacing w:line="560" w:lineRule="exact"/>
              <w:ind w:left="-56" w:firstLine="0" w:firstLineChars="0"/>
              <w:jc w:val="center"/>
              <w:textAlignment w:val="auto"/>
              <w:rPr>
                <w:rFonts w:ascii="Times New Roman" w:hAnsi="Times New Roman" w:eastAsia="仿宋_GB2312"/>
                <w:sz w:val="28"/>
                <w:szCs w:val="24"/>
              </w:rPr>
            </w:pPr>
            <w:r>
              <w:rPr>
                <w:rFonts w:hint="eastAsia" w:ascii="Times New Roman" w:hAnsi="Times New Roman" w:eastAsia="仿宋_GB2312"/>
                <w:sz w:val="28"/>
                <w:szCs w:val="24"/>
              </w:rPr>
              <w:t>A类/B类/C类/D类</w:t>
            </w:r>
          </w:p>
        </w:tc>
      </w:tr>
      <w:tr w14:paraId="3AF2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8" w:type="dxa"/>
            <w:vAlign w:val="center"/>
          </w:tcPr>
          <w:p w14:paraId="4F43F4CD">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r>
              <w:rPr>
                <w:rFonts w:hint="eastAsia" w:ascii="Times New Roman" w:hAnsi="Times New Roman" w:eastAsia="仿宋_GB2312"/>
                <w:sz w:val="28"/>
                <w:szCs w:val="24"/>
              </w:rPr>
              <w:t>团队人数</w:t>
            </w:r>
          </w:p>
        </w:tc>
        <w:tc>
          <w:tcPr>
            <w:tcW w:w="2551" w:type="dxa"/>
            <w:vAlign w:val="center"/>
          </w:tcPr>
          <w:p w14:paraId="7D13308A">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r>
              <w:rPr>
                <w:rFonts w:hint="eastAsia" w:ascii="Times New Roman" w:hAnsi="Times New Roman" w:eastAsia="仿宋_GB2312"/>
                <w:sz w:val="28"/>
                <w:szCs w:val="24"/>
              </w:rPr>
              <w:t>XX人</w:t>
            </w:r>
          </w:p>
        </w:tc>
        <w:tc>
          <w:tcPr>
            <w:tcW w:w="2410" w:type="dxa"/>
            <w:vAlign w:val="center"/>
          </w:tcPr>
          <w:p w14:paraId="643A16B1">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r>
              <w:rPr>
                <w:rFonts w:hint="eastAsia" w:ascii="Times New Roman" w:hAnsi="Times New Roman" w:eastAsia="仿宋_GB2312"/>
                <w:sz w:val="28"/>
                <w:szCs w:val="24"/>
              </w:rPr>
              <w:t>指导老师</w:t>
            </w:r>
          </w:p>
        </w:tc>
        <w:tc>
          <w:tcPr>
            <w:tcW w:w="2977" w:type="dxa"/>
            <w:vAlign w:val="center"/>
          </w:tcPr>
          <w:p w14:paraId="2385682F">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p>
        </w:tc>
        <w:tc>
          <w:tcPr>
            <w:tcW w:w="1365" w:type="dxa"/>
            <w:vMerge w:val="continue"/>
            <w:vAlign w:val="center"/>
          </w:tcPr>
          <w:p w14:paraId="4FFA8B6B">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p>
        </w:tc>
        <w:tc>
          <w:tcPr>
            <w:tcW w:w="3171" w:type="dxa"/>
            <w:vMerge w:val="continue"/>
            <w:vAlign w:val="center"/>
          </w:tcPr>
          <w:p w14:paraId="59C3787D">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sz w:val="28"/>
                <w:szCs w:val="24"/>
              </w:rPr>
            </w:pPr>
          </w:p>
        </w:tc>
      </w:tr>
      <w:tr w14:paraId="2CF3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8" w:type="dxa"/>
            <w:vAlign w:val="center"/>
          </w:tcPr>
          <w:p w14:paraId="77C76188">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r>
              <w:rPr>
                <w:rFonts w:hint="eastAsia" w:ascii="Times New Roman" w:hAnsi="Times New Roman" w:eastAsia="仿宋_GB2312"/>
                <w:sz w:val="28"/>
                <w:szCs w:val="24"/>
              </w:rPr>
              <w:t>序号</w:t>
            </w:r>
          </w:p>
        </w:tc>
        <w:tc>
          <w:tcPr>
            <w:tcW w:w="2551" w:type="dxa"/>
            <w:vAlign w:val="center"/>
          </w:tcPr>
          <w:p w14:paraId="36F591CC">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r>
              <w:rPr>
                <w:rFonts w:hint="eastAsia" w:ascii="Times New Roman" w:hAnsi="Times New Roman" w:eastAsia="仿宋_GB2312"/>
                <w:sz w:val="28"/>
                <w:szCs w:val="24"/>
              </w:rPr>
              <w:t>学号</w:t>
            </w:r>
          </w:p>
        </w:tc>
        <w:tc>
          <w:tcPr>
            <w:tcW w:w="2410" w:type="dxa"/>
            <w:vAlign w:val="center"/>
          </w:tcPr>
          <w:p w14:paraId="05E70E76">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r>
              <w:rPr>
                <w:rFonts w:hint="eastAsia" w:ascii="Times New Roman" w:hAnsi="Times New Roman" w:eastAsia="仿宋_GB2312"/>
                <w:sz w:val="28"/>
                <w:szCs w:val="24"/>
              </w:rPr>
              <w:t>姓名</w:t>
            </w:r>
          </w:p>
        </w:tc>
        <w:tc>
          <w:tcPr>
            <w:tcW w:w="2977" w:type="dxa"/>
            <w:vAlign w:val="center"/>
          </w:tcPr>
          <w:p w14:paraId="0C22860F">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r>
              <w:rPr>
                <w:rFonts w:hint="eastAsia" w:ascii="Times New Roman" w:hAnsi="Times New Roman" w:eastAsia="仿宋_GB2312"/>
                <w:sz w:val="28"/>
                <w:szCs w:val="24"/>
              </w:rPr>
              <w:t>队内职务</w:t>
            </w:r>
          </w:p>
        </w:tc>
        <w:tc>
          <w:tcPr>
            <w:tcW w:w="1365" w:type="dxa"/>
            <w:vAlign w:val="center"/>
          </w:tcPr>
          <w:p w14:paraId="237DA1FA">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r>
              <w:rPr>
                <w:rFonts w:hint="eastAsia" w:ascii="Times New Roman" w:hAnsi="Times New Roman" w:eastAsia="仿宋_GB2312"/>
                <w:sz w:val="28"/>
                <w:szCs w:val="24"/>
              </w:rPr>
              <w:t>赋分值</w:t>
            </w:r>
          </w:p>
        </w:tc>
        <w:tc>
          <w:tcPr>
            <w:tcW w:w="3171" w:type="dxa"/>
            <w:vAlign w:val="center"/>
          </w:tcPr>
          <w:p w14:paraId="25BBB3F6">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r>
              <w:rPr>
                <w:rFonts w:hint="eastAsia" w:ascii="Times New Roman" w:hAnsi="Times New Roman" w:eastAsia="仿宋_GB2312"/>
                <w:sz w:val="28"/>
                <w:szCs w:val="24"/>
              </w:rPr>
              <w:t>本人签名</w:t>
            </w:r>
          </w:p>
        </w:tc>
      </w:tr>
      <w:tr w14:paraId="5F3D3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8" w:type="dxa"/>
            <w:vAlign w:val="center"/>
          </w:tcPr>
          <w:p w14:paraId="1ADDEB12">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r>
              <w:rPr>
                <w:rFonts w:hint="eastAsia" w:ascii="Times New Roman" w:hAnsi="Times New Roman" w:eastAsia="仿宋_GB2312"/>
                <w:sz w:val="28"/>
                <w:szCs w:val="24"/>
              </w:rPr>
              <w:t>1</w:t>
            </w:r>
          </w:p>
        </w:tc>
        <w:tc>
          <w:tcPr>
            <w:tcW w:w="2551" w:type="dxa"/>
            <w:vAlign w:val="center"/>
          </w:tcPr>
          <w:p w14:paraId="4E8FD25A">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p>
        </w:tc>
        <w:tc>
          <w:tcPr>
            <w:tcW w:w="2410" w:type="dxa"/>
            <w:vAlign w:val="center"/>
          </w:tcPr>
          <w:p w14:paraId="7E85A51A">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p>
        </w:tc>
        <w:tc>
          <w:tcPr>
            <w:tcW w:w="2977" w:type="dxa"/>
            <w:vAlign w:val="center"/>
          </w:tcPr>
          <w:p w14:paraId="681BD18D">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r>
              <w:rPr>
                <w:rFonts w:hint="eastAsia" w:ascii="Times New Roman" w:hAnsi="Times New Roman" w:eastAsia="仿宋_GB2312"/>
                <w:sz w:val="28"/>
                <w:szCs w:val="24"/>
              </w:rPr>
              <w:t>队长</w:t>
            </w:r>
          </w:p>
        </w:tc>
        <w:tc>
          <w:tcPr>
            <w:tcW w:w="1365" w:type="dxa"/>
            <w:vAlign w:val="center"/>
          </w:tcPr>
          <w:p w14:paraId="0E42F8D9">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p>
        </w:tc>
        <w:tc>
          <w:tcPr>
            <w:tcW w:w="3171" w:type="dxa"/>
            <w:vAlign w:val="center"/>
          </w:tcPr>
          <w:p w14:paraId="3A516284">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r>
              <w:rPr>
                <w:rFonts w:hint="eastAsia" w:ascii="Times New Roman" w:hAnsi="Times New Roman" w:eastAsia="仿宋_GB2312"/>
                <w:sz w:val="28"/>
                <w:szCs w:val="24"/>
              </w:rPr>
              <w:t>（需本人手写）</w:t>
            </w:r>
          </w:p>
        </w:tc>
      </w:tr>
      <w:tr w14:paraId="5396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8" w:type="dxa"/>
            <w:vAlign w:val="center"/>
          </w:tcPr>
          <w:p w14:paraId="4ABE7155">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r>
              <w:rPr>
                <w:rFonts w:hint="eastAsia" w:ascii="Times New Roman" w:hAnsi="Times New Roman" w:eastAsia="仿宋_GB2312"/>
                <w:sz w:val="28"/>
                <w:szCs w:val="24"/>
              </w:rPr>
              <w:t>2</w:t>
            </w:r>
          </w:p>
        </w:tc>
        <w:tc>
          <w:tcPr>
            <w:tcW w:w="2551" w:type="dxa"/>
            <w:vAlign w:val="center"/>
          </w:tcPr>
          <w:p w14:paraId="070EA66B">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p>
        </w:tc>
        <w:tc>
          <w:tcPr>
            <w:tcW w:w="2410" w:type="dxa"/>
            <w:vAlign w:val="center"/>
          </w:tcPr>
          <w:p w14:paraId="581316DC">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p>
        </w:tc>
        <w:tc>
          <w:tcPr>
            <w:tcW w:w="2977" w:type="dxa"/>
            <w:vAlign w:val="center"/>
          </w:tcPr>
          <w:p w14:paraId="6F60D467">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r>
              <w:rPr>
                <w:rFonts w:hint="eastAsia" w:ascii="Times New Roman" w:hAnsi="Times New Roman" w:eastAsia="仿宋_GB2312"/>
                <w:sz w:val="28"/>
                <w:szCs w:val="24"/>
              </w:rPr>
              <w:t>队员1</w:t>
            </w:r>
          </w:p>
        </w:tc>
        <w:tc>
          <w:tcPr>
            <w:tcW w:w="1365" w:type="dxa"/>
            <w:vAlign w:val="center"/>
          </w:tcPr>
          <w:p w14:paraId="70C1757E">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p>
        </w:tc>
        <w:tc>
          <w:tcPr>
            <w:tcW w:w="3171" w:type="dxa"/>
            <w:vAlign w:val="center"/>
          </w:tcPr>
          <w:p w14:paraId="48C54933">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p>
        </w:tc>
      </w:tr>
      <w:tr w14:paraId="7AD5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8" w:type="dxa"/>
            <w:vAlign w:val="center"/>
          </w:tcPr>
          <w:p w14:paraId="3ECC6AA5">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r>
              <w:rPr>
                <w:rFonts w:hint="eastAsia" w:ascii="Times New Roman" w:hAnsi="Times New Roman" w:eastAsia="仿宋_GB2312"/>
                <w:sz w:val="28"/>
                <w:szCs w:val="24"/>
              </w:rPr>
              <w:t>3</w:t>
            </w:r>
          </w:p>
        </w:tc>
        <w:tc>
          <w:tcPr>
            <w:tcW w:w="2551" w:type="dxa"/>
            <w:vAlign w:val="center"/>
          </w:tcPr>
          <w:p w14:paraId="43241E9F">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p>
        </w:tc>
        <w:tc>
          <w:tcPr>
            <w:tcW w:w="2410" w:type="dxa"/>
            <w:vAlign w:val="center"/>
          </w:tcPr>
          <w:p w14:paraId="5BB79C11">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p>
        </w:tc>
        <w:tc>
          <w:tcPr>
            <w:tcW w:w="2977" w:type="dxa"/>
            <w:vAlign w:val="center"/>
          </w:tcPr>
          <w:p w14:paraId="2DEB1E01">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r>
              <w:rPr>
                <w:rFonts w:hint="eastAsia" w:ascii="Times New Roman" w:hAnsi="Times New Roman" w:eastAsia="仿宋_GB2312"/>
                <w:sz w:val="28"/>
                <w:szCs w:val="24"/>
              </w:rPr>
              <w:t>队员2</w:t>
            </w:r>
          </w:p>
        </w:tc>
        <w:tc>
          <w:tcPr>
            <w:tcW w:w="1365" w:type="dxa"/>
            <w:vAlign w:val="center"/>
          </w:tcPr>
          <w:p w14:paraId="2FEAE06F">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p>
        </w:tc>
        <w:tc>
          <w:tcPr>
            <w:tcW w:w="3171" w:type="dxa"/>
            <w:vAlign w:val="center"/>
          </w:tcPr>
          <w:p w14:paraId="60B0D485">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p>
        </w:tc>
      </w:tr>
      <w:tr w14:paraId="31A6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8" w:type="dxa"/>
            <w:vAlign w:val="center"/>
          </w:tcPr>
          <w:p w14:paraId="78843B00">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r>
              <w:rPr>
                <w:rFonts w:hint="eastAsia" w:ascii="Times New Roman" w:hAnsi="Times New Roman" w:eastAsia="仿宋_GB2312"/>
                <w:sz w:val="28"/>
                <w:szCs w:val="24"/>
              </w:rPr>
              <w:t>……</w:t>
            </w:r>
          </w:p>
        </w:tc>
        <w:tc>
          <w:tcPr>
            <w:tcW w:w="2551" w:type="dxa"/>
            <w:vAlign w:val="center"/>
          </w:tcPr>
          <w:p w14:paraId="03D863D1">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p>
        </w:tc>
        <w:tc>
          <w:tcPr>
            <w:tcW w:w="2410" w:type="dxa"/>
            <w:vAlign w:val="center"/>
          </w:tcPr>
          <w:p w14:paraId="1F7A034C">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r>
              <w:rPr>
                <w:rFonts w:hint="eastAsia" w:ascii="Times New Roman" w:hAnsi="Times New Roman" w:eastAsia="仿宋_GB2312"/>
                <w:sz w:val="28"/>
                <w:szCs w:val="24"/>
              </w:rPr>
              <w:t>……</w:t>
            </w:r>
          </w:p>
        </w:tc>
        <w:tc>
          <w:tcPr>
            <w:tcW w:w="2977" w:type="dxa"/>
            <w:vAlign w:val="center"/>
          </w:tcPr>
          <w:p w14:paraId="26DD4132">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r>
              <w:rPr>
                <w:rFonts w:hint="eastAsia" w:ascii="Times New Roman" w:hAnsi="Times New Roman" w:eastAsia="仿宋_GB2312"/>
                <w:sz w:val="28"/>
                <w:szCs w:val="24"/>
              </w:rPr>
              <w:t>……</w:t>
            </w:r>
          </w:p>
        </w:tc>
        <w:tc>
          <w:tcPr>
            <w:tcW w:w="1365" w:type="dxa"/>
            <w:vAlign w:val="center"/>
          </w:tcPr>
          <w:p w14:paraId="111AD2B0">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r>
              <w:rPr>
                <w:rFonts w:hint="eastAsia" w:ascii="Times New Roman" w:hAnsi="Times New Roman" w:eastAsia="仿宋_GB2312"/>
                <w:sz w:val="28"/>
                <w:szCs w:val="24"/>
              </w:rPr>
              <w:t>……</w:t>
            </w:r>
          </w:p>
        </w:tc>
        <w:tc>
          <w:tcPr>
            <w:tcW w:w="3171" w:type="dxa"/>
            <w:vAlign w:val="center"/>
          </w:tcPr>
          <w:p w14:paraId="4D117444">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8"/>
                <w:szCs w:val="24"/>
              </w:rPr>
            </w:pPr>
          </w:p>
        </w:tc>
      </w:tr>
    </w:tbl>
    <w:p w14:paraId="50684FC1">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sz w:val="32"/>
        </w:rPr>
      </w:pPr>
      <w:r>
        <w:rPr>
          <w:rFonts w:hint="eastAsia" w:ascii="Times New Roman" w:hAnsi="Times New Roman" w:eastAsia="仿宋_GB2312"/>
          <w:sz w:val="32"/>
        </w:rPr>
        <w:t>（注：此表仅本人签名处手写，其余各项均为电子填写。）</w:t>
      </w:r>
    </w:p>
    <w:p w14:paraId="277A04A9">
      <w:pPr>
        <w:keepNext w:val="0"/>
        <w:keepLines w:val="0"/>
        <w:pageBreakBefore w:val="0"/>
        <w:widowControl/>
        <w:kinsoku/>
        <w:wordWrap/>
        <w:overflowPunct/>
        <w:topLinePunct w:val="0"/>
        <w:autoSpaceDE/>
        <w:autoSpaceDN/>
        <w:bidi w:val="0"/>
        <w:spacing w:line="560" w:lineRule="exact"/>
        <w:jc w:val="left"/>
        <w:textAlignment w:val="auto"/>
        <w:rPr>
          <w:rFonts w:ascii="Times New Roman" w:hAnsi="Times New Roman" w:eastAsia="仿宋_GB2312"/>
          <w:sz w:val="32"/>
          <w:szCs w:val="28"/>
        </w:rPr>
      </w:pPr>
      <w:bookmarkStart w:id="2" w:name="_GoBack"/>
      <w:bookmarkEnd w:id="2"/>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103FFC-BDE4-4BFD-ADAB-5F68EB5EE0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1CD1A567-C78C-461A-98A4-1ED4FB68FDE4}"/>
  </w:font>
  <w:font w:name="仿宋_GB2312">
    <w:panose1 w:val="02010609030101010101"/>
    <w:charset w:val="86"/>
    <w:family w:val="auto"/>
    <w:pitch w:val="default"/>
    <w:sig w:usb0="00000001" w:usb1="080E0000" w:usb2="00000000" w:usb3="00000000" w:csb0="00040000" w:csb1="00000000"/>
    <w:embedRegular r:id="rId3" w:fontKey="{A73D9842-3E4A-4946-89D0-30DD8EF83218}"/>
  </w:font>
  <w:font w:name="楷体_GB2312">
    <w:panose1 w:val="02010609030101010101"/>
    <w:charset w:val="86"/>
    <w:family w:val="auto"/>
    <w:pitch w:val="default"/>
    <w:sig w:usb0="00000001" w:usb1="080E0000" w:usb2="00000000" w:usb3="00000000" w:csb0="00040000" w:csb1="00000000"/>
    <w:embedRegular r:id="rId4" w:fontKey="{BD0C581F-E41B-4034-A547-44B3C902CC3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7B7587"/>
    <w:multiLevelType w:val="multilevel"/>
    <w:tmpl w:val="097B7587"/>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2MmIxYjI4YTIwMDVmZWM4MjdiMzEyMGM0NGM5NDgifQ=="/>
  </w:docVars>
  <w:rsids>
    <w:rsidRoot w:val="00C244B8"/>
    <w:rsid w:val="000125D5"/>
    <w:rsid w:val="000126A3"/>
    <w:rsid w:val="0001455E"/>
    <w:rsid w:val="00020F9A"/>
    <w:rsid w:val="00033016"/>
    <w:rsid w:val="0003308C"/>
    <w:rsid w:val="00036E91"/>
    <w:rsid w:val="00046782"/>
    <w:rsid w:val="00047547"/>
    <w:rsid w:val="000511FE"/>
    <w:rsid w:val="000515A8"/>
    <w:rsid w:val="00062DCC"/>
    <w:rsid w:val="0007085C"/>
    <w:rsid w:val="00083A07"/>
    <w:rsid w:val="000A1780"/>
    <w:rsid w:val="000A1E9B"/>
    <w:rsid w:val="000A58BA"/>
    <w:rsid w:val="000A6891"/>
    <w:rsid w:val="000A70B9"/>
    <w:rsid w:val="000A7F94"/>
    <w:rsid w:val="000B4E48"/>
    <w:rsid w:val="000C271A"/>
    <w:rsid w:val="000C5C6A"/>
    <w:rsid w:val="000C6110"/>
    <w:rsid w:val="000C6919"/>
    <w:rsid w:val="000D3F50"/>
    <w:rsid w:val="000D49F3"/>
    <w:rsid w:val="000D5E07"/>
    <w:rsid w:val="000E069A"/>
    <w:rsid w:val="000E4B33"/>
    <w:rsid w:val="00116AB6"/>
    <w:rsid w:val="00121E23"/>
    <w:rsid w:val="00124792"/>
    <w:rsid w:val="00125001"/>
    <w:rsid w:val="00127E60"/>
    <w:rsid w:val="001319E1"/>
    <w:rsid w:val="00135A87"/>
    <w:rsid w:val="001361EA"/>
    <w:rsid w:val="00152EE4"/>
    <w:rsid w:val="00153855"/>
    <w:rsid w:val="00164B39"/>
    <w:rsid w:val="001742A2"/>
    <w:rsid w:val="00175A0B"/>
    <w:rsid w:val="00182D9D"/>
    <w:rsid w:val="001869FB"/>
    <w:rsid w:val="00186CCD"/>
    <w:rsid w:val="0019003E"/>
    <w:rsid w:val="001910E3"/>
    <w:rsid w:val="001921B2"/>
    <w:rsid w:val="001932BA"/>
    <w:rsid w:val="001A086B"/>
    <w:rsid w:val="001A1F68"/>
    <w:rsid w:val="001A245D"/>
    <w:rsid w:val="001B1A71"/>
    <w:rsid w:val="001C0C07"/>
    <w:rsid w:val="001C3CED"/>
    <w:rsid w:val="001C6079"/>
    <w:rsid w:val="001F1889"/>
    <w:rsid w:val="002126F9"/>
    <w:rsid w:val="00212ACA"/>
    <w:rsid w:val="00220D99"/>
    <w:rsid w:val="00225717"/>
    <w:rsid w:val="0024007D"/>
    <w:rsid w:val="00241512"/>
    <w:rsid w:val="00243435"/>
    <w:rsid w:val="00245BDA"/>
    <w:rsid w:val="00263FA1"/>
    <w:rsid w:val="0026620B"/>
    <w:rsid w:val="002723A1"/>
    <w:rsid w:val="002736FB"/>
    <w:rsid w:val="0027458D"/>
    <w:rsid w:val="0027539B"/>
    <w:rsid w:val="00284114"/>
    <w:rsid w:val="00284EED"/>
    <w:rsid w:val="00285675"/>
    <w:rsid w:val="002931A4"/>
    <w:rsid w:val="002973AF"/>
    <w:rsid w:val="002A27C4"/>
    <w:rsid w:val="002A34A5"/>
    <w:rsid w:val="002B5C74"/>
    <w:rsid w:val="002C148D"/>
    <w:rsid w:val="002E0E17"/>
    <w:rsid w:val="002E190A"/>
    <w:rsid w:val="002E452C"/>
    <w:rsid w:val="002E5CF3"/>
    <w:rsid w:val="00302A87"/>
    <w:rsid w:val="00313920"/>
    <w:rsid w:val="003175B5"/>
    <w:rsid w:val="003301F5"/>
    <w:rsid w:val="0034366A"/>
    <w:rsid w:val="003452DD"/>
    <w:rsid w:val="00345852"/>
    <w:rsid w:val="00347801"/>
    <w:rsid w:val="00370FBE"/>
    <w:rsid w:val="003719C9"/>
    <w:rsid w:val="00392EA9"/>
    <w:rsid w:val="003B3292"/>
    <w:rsid w:val="003C0D59"/>
    <w:rsid w:val="003C13CB"/>
    <w:rsid w:val="003E3522"/>
    <w:rsid w:val="00400D64"/>
    <w:rsid w:val="004141E2"/>
    <w:rsid w:val="0041653C"/>
    <w:rsid w:val="004225F9"/>
    <w:rsid w:val="00424709"/>
    <w:rsid w:val="00431073"/>
    <w:rsid w:val="00432D81"/>
    <w:rsid w:val="00445CDD"/>
    <w:rsid w:val="00454544"/>
    <w:rsid w:val="00457A6B"/>
    <w:rsid w:val="0046380D"/>
    <w:rsid w:val="0047265D"/>
    <w:rsid w:val="004775D6"/>
    <w:rsid w:val="00485D8A"/>
    <w:rsid w:val="004866ED"/>
    <w:rsid w:val="00494C4F"/>
    <w:rsid w:val="00496891"/>
    <w:rsid w:val="004A4089"/>
    <w:rsid w:val="004A4A9C"/>
    <w:rsid w:val="004A7976"/>
    <w:rsid w:val="004B142F"/>
    <w:rsid w:val="004B3082"/>
    <w:rsid w:val="004B771D"/>
    <w:rsid w:val="004C4D60"/>
    <w:rsid w:val="004E4ABD"/>
    <w:rsid w:val="004F2449"/>
    <w:rsid w:val="00517FDE"/>
    <w:rsid w:val="00522D91"/>
    <w:rsid w:val="005312AE"/>
    <w:rsid w:val="00535CF2"/>
    <w:rsid w:val="00536FA3"/>
    <w:rsid w:val="0053764E"/>
    <w:rsid w:val="005556FB"/>
    <w:rsid w:val="005560AB"/>
    <w:rsid w:val="005601F3"/>
    <w:rsid w:val="00561BB9"/>
    <w:rsid w:val="005735B0"/>
    <w:rsid w:val="00574A4B"/>
    <w:rsid w:val="00576C1F"/>
    <w:rsid w:val="005826A2"/>
    <w:rsid w:val="00587D91"/>
    <w:rsid w:val="00596B37"/>
    <w:rsid w:val="005A5D22"/>
    <w:rsid w:val="005A7656"/>
    <w:rsid w:val="005B1080"/>
    <w:rsid w:val="005C0F7F"/>
    <w:rsid w:val="005D4AD3"/>
    <w:rsid w:val="005D4DEC"/>
    <w:rsid w:val="005D6D45"/>
    <w:rsid w:val="00604DD2"/>
    <w:rsid w:val="006113F6"/>
    <w:rsid w:val="006333F7"/>
    <w:rsid w:val="00636039"/>
    <w:rsid w:val="0063613D"/>
    <w:rsid w:val="00637C24"/>
    <w:rsid w:val="00641569"/>
    <w:rsid w:val="00643BDD"/>
    <w:rsid w:val="00646CD2"/>
    <w:rsid w:val="00646ED9"/>
    <w:rsid w:val="00652A67"/>
    <w:rsid w:val="00663047"/>
    <w:rsid w:val="00673980"/>
    <w:rsid w:val="006936D0"/>
    <w:rsid w:val="006974EE"/>
    <w:rsid w:val="006976E0"/>
    <w:rsid w:val="006A114F"/>
    <w:rsid w:val="006A1745"/>
    <w:rsid w:val="006A5C00"/>
    <w:rsid w:val="006B3CD8"/>
    <w:rsid w:val="006C2BF8"/>
    <w:rsid w:val="006C6C2F"/>
    <w:rsid w:val="006D0FA6"/>
    <w:rsid w:val="006D5AF0"/>
    <w:rsid w:val="006E68DF"/>
    <w:rsid w:val="006F75E7"/>
    <w:rsid w:val="007076DE"/>
    <w:rsid w:val="0071464E"/>
    <w:rsid w:val="00714DA6"/>
    <w:rsid w:val="00716D5B"/>
    <w:rsid w:val="00734B70"/>
    <w:rsid w:val="00735386"/>
    <w:rsid w:val="00743044"/>
    <w:rsid w:val="00746BC0"/>
    <w:rsid w:val="00754357"/>
    <w:rsid w:val="00754CAC"/>
    <w:rsid w:val="00756884"/>
    <w:rsid w:val="007622C2"/>
    <w:rsid w:val="00762C38"/>
    <w:rsid w:val="007733C2"/>
    <w:rsid w:val="00780FCE"/>
    <w:rsid w:val="00785086"/>
    <w:rsid w:val="00786312"/>
    <w:rsid w:val="007A0762"/>
    <w:rsid w:val="007A287C"/>
    <w:rsid w:val="007A2ED5"/>
    <w:rsid w:val="007A7832"/>
    <w:rsid w:val="007B619A"/>
    <w:rsid w:val="007C2953"/>
    <w:rsid w:val="007D02BC"/>
    <w:rsid w:val="007D2861"/>
    <w:rsid w:val="007D482D"/>
    <w:rsid w:val="007E3A2B"/>
    <w:rsid w:val="007E5E9A"/>
    <w:rsid w:val="007F7D74"/>
    <w:rsid w:val="008149BB"/>
    <w:rsid w:val="00835A15"/>
    <w:rsid w:val="00836E20"/>
    <w:rsid w:val="008419AA"/>
    <w:rsid w:val="008564F7"/>
    <w:rsid w:val="00876317"/>
    <w:rsid w:val="00877B5E"/>
    <w:rsid w:val="0088018D"/>
    <w:rsid w:val="008912C6"/>
    <w:rsid w:val="008935DD"/>
    <w:rsid w:val="00895F43"/>
    <w:rsid w:val="008A15AC"/>
    <w:rsid w:val="008A4950"/>
    <w:rsid w:val="008B14E5"/>
    <w:rsid w:val="008B7124"/>
    <w:rsid w:val="008D317C"/>
    <w:rsid w:val="008D4D36"/>
    <w:rsid w:val="008D7D52"/>
    <w:rsid w:val="008E7AC9"/>
    <w:rsid w:val="008F7452"/>
    <w:rsid w:val="00907E5C"/>
    <w:rsid w:val="00911C11"/>
    <w:rsid w:val="00921B9F"/>
    <w:rsid w:val="00925967"/>
    <w:rsid w:val="0093260C"/>
    <w:rsid w:val="009602FD"/>
    <w:rsid w:val="00965935"/>
    <w:rsid w:val="009711D4"/>
    <w:rsid w:val="009720DA"/>
    <w:rsid w:val="0098318F"/>
    <w:rsid w:val="009B0386"/>
    <w:rsid w:val="009B794F"/>
    <w:rsid w:val="009C0A4A"/>
    <w:rsid w:val="009C1EF1"/>
    <w:rsid w:val="009C2DA8"/>
    <w:rsid w:val="009D3BDF"/>
    <w:rsid w:val="009E3763"/>
    <w:rsid w:val="009E77D9"/>
    <w:rsid w:val="009F2EBF"/>
    <w:rsid w:val="009F45BF"/>
    <w:rsid w:val="00A045BE"/>
    <w:rsid w:val="00A17D48"/>
    <w:rsid w:val="00A33981"/>
    <w:rsid w:val="00A36933"/>
    <w:rsid w:val="00A378F4"/>
    <w:rsid w:val="00A41903"/>
    <w:rsid w:val="00A53F00"/>
    <w:rsid w:val="00A7016E"/>
    <w:rsid w:val="00A735D0"/>
    <w:rsid w:val="00A837B6"/>
    <w:rsid w:val="00A87F59"/>
    <w:rsid w:val="00A962DB"/>
    <w:rsid w:val="00A96D42"/>
    <w:rsid w:val="00AA2146"/>
    <w:rsid w:val="00AA4AA4"/>
    <w:rsid w:val="00AA6AA7"/>
    <w:rsid w:val="00AB069F"/>
    <w:rsid w:val="00AB2528"/>
    <w:rsid w:val="00AC032A"/>
    <w:rsid w:val="00AC426B"/>
    <w:rsid w:val="00AD2B6E"/>
    <w:rsid w:val="00AD34A0"/>
    <w:rsid w:val="00AD5888"/>
    <w:rsid w:val="00AE26B6"/>
    <w:rsid w:val="00B021E3"/>
    <w:rsid w:val="00B1289B"/>
    <w:rsid w:val="00B139BF"/>
    <w:rsid w:val="00B21BA5"/>
    <w:rsid w:val="00B273EB"/>
    <w:rsid w:val="00B459BA"/>
    <w:rsid w:val="00B46E29"/>
    <w:rsid w:val="00B55C03"/>
    <w:rsid w:val="00B61CC5"/>
    <w:rsid w:val="00B63425"/>
    <w:rsid w:val="00B720B8"/>
    <w:rsid w:val="00B87D9E"/>
    <w:rsid w:val="00B944A0"/>
    <w:rsid w:val="00BA0C59"/>
    <w:rsid w:val="00BA5E9E"/>
    <w:rsid w:val="00BC4F81"/>
    <w:rsid w:val="00BC6B06"/>
    <w:rsid w:val="00BD1F43"/>
    <w:rsid w:val="00C10798"/>
    <w:rsid w:val="00C129F3"/>
    <w:rsid w:val="00C15E94"/>
    <w:rsid w:val="00C20CBB"/>
    <w:rsid w:val="00C236F0"/>
    <w:rsid w:val="00C244B8"/>
    <w:rsid w:val="00C343CC"/>
    <w:rsid w:val="00C36043"/>
    <w:rsid w:val="00C41760"/>
    <w:rsid w:val="00C46F23"/>
    <w:rsid w:val="00C52409"/>
    <w:rsid w:val="00C52661"/>
    <w:rsid w:val="00C6768D"/>
    <w:rsid w:val="00C75744"/>
    <w:rsid w:val="00C77F27"/>
    <w:rsid w:val="00C936B9"/>
    <w:rsid w:val="00C94992"/>
    <w:rsid w:val="00CA2898"/>
    <w:rsid w:val="00CB35AA"/>
    <w:rsid w:val="00CB410C"/>
    <w:rsid w:val="00CB62A8"/>
    <w:rsid w:val="00CB6BDA"/>
    <w:rsid w:val="00CC5F33"/>
    <w:rsid w:val="00CD7988"/>
    <w:rsid w:val="00CE2683"/>
    <w:rsid w:val="00D233C9"/>
    <w:rsid w:val="00D236A9"/>
    <w:rsid w:val="00D263B6"/>
    <w:rsid w:val="00D30115"/>
    <w:rsid w:val="00D324B3"/>
    <w:rsid w:val="00D41133"/>
    <w:rsid w:val="00D43443"/>
    <w:rsid w:val="00D4770E"/>
    <w:rsid w:val="00D55929"/>
    <w:rsid w:val="00D62149"/>
    <w:rsid w:val="00D627F4"/>
    <w:rsid w:val="00D66882"/>
    <w:rsid w:val="00D7299C"/>
    <w:rsid w:val="00D729ED"/>
    <w:rsid w:val="00D73F02"/>
    <w:rsid w:val="00D75BB0"/>
    <w:rsid w:val="00D75BDA"/>
    <w:rsid w:val="00D849E0"/>
    <w:rsid w:val="00D95224"/>
    <w:rsid w:val="00DA0169"/>
    <w:rsid w:val="00DA2855"/>
    <w:rsid w:val="00DB0039"/>
    <w:rsid w:val="00DC16C6"/>
    <w:rsid w:val="00DC506D"/>
    <w:rsid w:val="00DD0CF1"/>
    <w:rsid w:val="00DD49A9"/>
    <w:rsid w:val="00DD7CFE"/>
    <w:rsid w:val="00DE1ADA"/>
    <w:rsid w:val="00DF2593"/>
    <w:rsid w:val="00DF2E64"/>
    <w:rsid w:val="00DF4B21"/>
    <w:rsid w:val="00E01375"/>
    <w:rsid w:val="00E22699"/>
    <w:rsid w:val="00E31E2A"/>
    <w:rsid w:val="00E3289A"/>
    <w:rsid w:val="00E426CB"/>
    <w:rsid w:val="00E45CE3"/>
    <w:rsid w:val="00E63848"/>
    <w:rsid w:val="00E744E5"/>
    <w:rsid w:val="00E80C24"/>
    <w:rsid w:val="00E83321"/>
    <w:rsid w:val="00E84C18"/>
    <w:rsid w:val="00EA0A8C"/>
    <w:rsid w:val="00EA1F27"/>
    <w:rsid w:val="00EA6769"/>
    <w:rsid w:val="00EB308B"/>
    <w:rsid w:val="00EB4050"/>
    <w:rsid w:val="00EB43A6"/>
    <w:rsid w:val="00EC2C82"/>
    <w:rsid w:val="00ED1065"/>
    <w:rsid w:val="00ED4F66"/>
    <w:rsid w:val="00ED5C90"/>
    <w:rsid w:val="00EE4B26"/>
    <w:rsid w:val="00F04271"/>
    <w:rsid w:val="00F07586"/>
    <w:rsid w:val="00F07629"/>
    <w:rsid w:val="00F10462"/>
    <w:rsid w:val="00F2563D"/>
    <w:rsid w:val="00F35529"/>
    <w:rsid w:val="00F36B93"/>
    <w:rsid w:val="00F42A2C"/>
    <w:rsid w:val="00F45887"/>
    <w:rsid w:val="00F51230"/>
    <w:rsid w:val="00F6515F"/>
    <w:rsid w:val="00F65DCF"/>
    <w:rsid w:val="00F70CEC"/>
    <w:rsid w:val="00F713FE"/>
    <w:rsid w:val="00F756C1"/>
    <w:rsid w:val="00F81775"/>
    <w:rsid w:val="00FA1410"/>
    <w:rsid w:val="00FB58F9"/>
    <w:rsid w:val="00FD3C1F"/>
    <w:rsid w:val="00FD4C2D"/>
    <w:rsid w:val="00FE5C2D"/>
    <w:rsid w:val="00FE6875"/>
    <w:rsid w:val="00FF70CB"/>
    <w:rsid w:val="17A9548B"/>
    <w:rsid w:val="206E7CFF"/>
    <w:rsid w:val="3A6F486B"/>
    <w:rsid w:val="3BAC7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批注框文本 字符"/>
    <w:basedOn w:val="7"/>
    <w:link w:val="2"/>
    <w:semiHidden/>
    <w:qFormat/>
    <w:uiPriority w:val="99"/>
    <w:rPr>
      <w:sz w:val="18"/>
      <w:szCs w:val="18"/>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2693</Words>
  <Characters>2825</Characters>
  <Lines>22</Lines>
  <Paragraphs>6</Paragraphs>
  <TotalTime>3</TotalTime>
  <ScaleCrop>false</ScaleCrop>
  <LinksUpToDate>false</LinksUpToDate>
  <CharactersWithSpaces>2833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2017-09-11T09:57:00Z</dcterms:created>
  <dc:creator>胡瑞</dc:creator>
  <cp:lastModifiedBy>李嘉硕</cp:lastModifiedBy>
  <cp:lastPrinted>2021-09-13T05:06:00Z</cp:lastPrinted>
  <dcterms:modified xsi:type="dcterms:W3CDTF">2025-01-10T10:34:17Z</dcterms:modified>
  <cp:revision>514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17FFE6D9868142AEB70CDA95898BD3B4_13</vt:lpwstr>
  </property>
</Properties>
</file>