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57A676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eastAsia="方正小标宋简体"/>
          <w:sz w:val="36"/>
          <w:szCs w:val="36"/>
        </w:rPr>
        <w:t>年石油学院本科生综合测评办法</w:t>
      </w:r>
    </w:p>
    <w:p w14:paraId="4A7E1B27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（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适用</w:t>
      </w:r>
      <w:r>
        <w:rPr>
          <w:rFonts w:ascii="方正小标宋简体" w:eastAsia="方正小标宋简体"/>
          <w:sz w:val="36"/>
          <w:szCs w:val="36"/>
        </w:rPr>
        <w:t>202</w:t>
      </w:r>
      <w:r>
        <w:rPr>
          <w:rFonts w:hint="eastAsia" w:ascii="方正小标宋简体" w:eastAsia="方正小标宋简体"/>
          <w:sz w:val="36"/>
          <w:szCs w:val="36"/>
        </w:rPr>
        <w:t>4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年及以后入学的</w:t>
      </w:r>
      <w:r>
        <w:rPr>
          <w:rFonts w:ascii="方正小标宋简体" w:eastAsia="方正小标宋简体"/>
          <w:sz w:val="36"/>
          <w:szCs w:val="36"/>
        </w:rPr>
        <w:t>本科生）</w:t>
      </w:r>
    </w:p>
    <w:p w14:paraId="46CAFE0F">
      <w:pPr>
        <w:jc w:val="center"/>
        <w:rPr>
          <w:rFonts w:ascii="方正小标宋简体" w:eastAsia="方正小标宋简体"/>
          <w:sz w:val="32"/>
          <w:szCs w:val="32"/>
        </w:rPr>
      </w:pPr>
    </w:p>
    <w:p w14:paraId="6143A85E"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一、总则</w:t>
      </w:r>
    </w:p>
    <w:p w14:paraId="1A20BDEB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为了进一步规范学院学生工作日常管理，鼓励我院学生积极参加科技创新、社会实践、志愿服务、文艺晚会、体育比赛、征文等活动，依据《中国石油大学（北京）克拉玛依校区本科生综合测评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实施</w:t>
      </w:r>
      <w:r>
        <w:rPr>
          <w:rFonts w:hint="eastAsia" w:ascii="仿宋" w:hAnsi="仿宋" w:eastAsia="仿宋"/>
          <w:sz w:val="32"/>
          <w:szCs w:val="32"/>
        </w:rPr>
        <w:t>办法（修订）》，按照公开、公平、</w:t>
      </w:r>
      <w:bookmarkStart w:id="13" w:name="_GoBack"/>
      <w:bookmarkEnd w:id="13"/>
      <w:r>
        <w:rPr>
          <w:rFonts w:hint="eastAsia" w:ascii="仿宋" w:hAnsi="仿宋" w:eastAsia="仿宋"/>
          <w:sz w:val="32"/>
          <w:szCs w:val="32"/>
        </w:rPr>
        <w:t>公正和民主集中制原则制定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此规定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4D6F45DE">
      <w:pPr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/>
          <w:sz w:val="32"/>
          <w:szCs w:val="32"/>
        </w:rPr>
        <w:t>条 本办法适用于石油学院</w:t>
      </w:r>
      <w:r>
        <w:rPr>
          <w:rFonts w:hint="eastAsia" w:ascii="仿宋" w:hAnsi="仿宋" w:eastAsia="仿宋"/>
          <w:b/>
          <w:bCs/>
          <w:color w:val="FF0000"/>
          <w:sz w:val="32"/>
          <w:szCs w:val="32"/>
        </w:rPr>
        <w:t>2024年及以后入学</w:t>
      </w:r>
      <w:r>
        <w:rPr>
          <w:rFonts w:hint="eastAsia" w:ascii="仿宋" w:hAnsi="仿宋" w:eastAsia="仿宋"/>
          <w:b/>
          <w:bCs/>
          <w:color w:val="FF0000"/>
          <w:sz w:val="32"/>
          <w:szCs w:val="32"/>
          <w:lang w:val="en-US" w:eastAsia="zh-CN"/>
        </w:rPr>
        <w:t>的本科</w:t>
      </w:r>
      <w:r>
        <w:rPr>
          <w:rFonts w:hint="eastAsia" w:ascii="仿宋" w:hAnsi="仿宋" w:eastAsia="仿宋"/>
          <w:b/>
          <w:bCs/>
          <w:color w:val="FF0000"/>
          <w:sz w:val="32"/>
          <w:szCs w:val="32"/>
        </w:rPr>
        <w:t>生</w:t>
      </w:r>
      <w:r>
        <w:rPr>
          <w:rFonts w:hint="eastAsia" w:ascii="仿宋" w:hAnsi="仿宋" w:eastAsia="仿宋"/>
          <w:b/>
          <w:bCs/>
          <w:color w:val="FF0000"/>
          <w:sz w:val="32"/>
          <w:szCs w:val="32"/>
          <w:lang w:eastAsia="zh-CN"/>
        </w:rPr>
        <w:t>。</w:t>
      </w:r>
    </w:p>
    <w:p w14:paraId="67E39053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第二条 为了进一步落实好本科生综合测评工作，特成立石油学院本科生综合测评委员会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_GB2312" w:hAnsi="微软雅黑" w:eastAsia="仿宋_GB2312"/>
          <w:b w:val="0"/>
          <w:bCs w:val="0"/>
          <w:color w:val="auto"/>
          <w:sz w:val="32"/>
          <w:szCs w:val="32"/>
        </w:rPr>
        <w:t>由学院</w:t>
      </w:r>
      <w:r>
        <w:rPr>
          <w:rFonts w:hint="eastAsia" w:ascii="仿宋_GB2312" w:hAnsi="微软雅黑" w:eastAsia="仿宋_GB2312"/>
          <w:b w:val="0"/>
          <w:bCs w:val="0"/>
          <w:color w:val="auto"/>
          <w:sz w:val="32"/>
          <w:szCs w:val="32"/>
          <w:lang w:val="en-US" w:eastAsia="zh-CN"/>
        </w:rPr>
        <w:t>院长</w:t>
      </w:r>
      <w:r>
        <w:rPr>
          <w:rFonts w:hint="eastAsia" w:ascii="仿宋_GB2312" w:hAnsi="微软雅黑" w:eastAsia="仿宋_GB2312"/>
          <w:b w:val="0"/>
          <w:bCs w:val="0"/>
          <w:color w:val="auto"/>
          <w:sz w:val="32"/>
          <w:szCs w:val="32"/>
        </w:rPr>
        <w:t>任组长，党委副书记、主管</w:t>
      </w:r>
      <w:r>
        <w:rPr>
          <w:rFonts w:hint="eastAsia" w:ascii="仿宋_GB2312" w:hAnsi="微软雅黑" w:eastAsia="仿宋_GB2312"/>
          <w:b w:val="0"/>
          <w:bCs w:val="0"/>
          <w:color w:val="auto"/>
          <w:sz w:val="32"/>
          <w:szCs w:val="32"/>
          <w:lang w:val="en-US" w:eastAsia="zh-CN"/>
        </w:rPr>
        <w:t>本科生</w:t>
      </w:r>
      <w:r>
        <w:rPr>
          <w:rFonts w:hint="eastAsia" w:ascii="仿宋_GB2312" w:hAnsi="微软雅黑" w:eastAsia="仿宋_GB2312"/>
          <w:b w:val="0"/>
          <w:bCs w:val="0"/>
          <w:color w:val="auto"/>
          <w:sz w:val="32"/>
          <w:szCs w:val="32"/>
        </w:rPr>
        <w:t>教学的副院长、辅导员</w:t>
      </w:r>
      <w:r>
        <w:rPr>
          <w:rFonts w:hint="eastAsia" w:ascii="仿宋_GB2312" w:hAnsi="微软雅黑" w:eastAsia="仿宋_GB2312"/>
          <w:b w:val="0"/>
          <w:bCs w:val="0"/>
          <w:color w:val="auto"/>
          <w:sz w:val="32"/>
          <w:szCs w:val="32"/>
          <w:lang w:val="en-US" w:eastAsia="zh-CN"/>
        </w:rPr>
        <w:t>和班主任</w:t>
      </w:r>
      <w:r>
        <w:rPr>
          <w:rFonts w:hint="eastAsia" w:ascii="仿宋_GB2312" w:hAnsi="微软雅黑" w:eastAsia="仿宋_GB2312"/>
          <w:b w:val="0"/>
          <w:bCs w:val="0"/>
          <w:color w:val="auto"/>
          <w:sz w:val="32"/>
          <w:szCs w:val="32"/>
        </w:rPr>
        <w:t>为主要工作成员，</w:t>
      </w:r>
      <w:r>
        <w:rPr>
          <w:rFonts w:hint="eastAsia" w:ascii="仿宋" w:hAnsi="仿宋" w:eastAsia="仿宋"/>
          <w:sz w:val="32"/>
          <w:szCs w:val="32"/>
        </w:rPr>
        <w:t>本办法最终解释权归石油学院本科生综合测评委员会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所有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2C4063ED">
      <w:pPr>
        <w:numPr>
          <w:ilvl w:val="0"/>
          <w:numId w:val="0"/>
        </w:num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第三条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综合测评每学年进行一次，以同年级同专业为排序单位，所有加分时间节点为：去年9月1日—当年8月31日</w:t>
      </w:r>
      <w:r>
        <w:rPr>
          <w:rFonts w:ascii="仿宋" w:hAnsi="仿宋" w:eastAsia="仿宋"/>
          <w:sz w:val="32"/>
          <w:szCs w:val="32"/>
        </w:rPr>
        <w:t>，所有具备加分资格的条目应在上述时间内取得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（</w:t>
      </w:r>
      <w:r>
        <w:rPr>
          <w:rFonts w:hint="eastAsia" w:ascii="仿宋_GB2312" w:hAnsi="微软雅黑" w:eastAsia="仿宋_GB2312"/>
          <w:b/>
          <w:bCs/>
          <w:color w:val="FF0000"/>
          <w:sz w:val="32"/>
          <w:szCs w:val="32"/>
        </w:rPr>
        <w:t>文章应见刊并发表，奖励、荣誉称号等各类项目应提供相关证明材料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）。</w:t>
      </w:r>
    </w:p>
    <w:p w14:paraId="67F38EA5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10361FE1"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二、总成绩</w:t>
      </w:r>
    </w:p>
    <w:p w14:paraId="22E5A231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综合测评成绩</w:t>
      </w:r>
      <w:r>
        <w:rPr>
          <w:rFonts w:ascii="仿宋" w:hAnsi="仿宋" w:eastAsia="仿宋"/>
          <w:sz w:val="32"/>
          <w:szCs w:val="32"/>
        </w:rPr>
        <w:t>=德育成绩×15%+智育成绩×70%+体育成绩×5%+美育</w:t>
      </w:r>
      <w:r>
        <w:rPr>
          <w:rFonts w:hint="eastAsia" w:ascii="仿宋" w:hAnsi="仿宋" w:eastAsia="仿宋"/>
          <w:sz w:val="32"/>
          <w:szCs w:val="32"/>
        </w:rPr>
        <w:t>成绩×</w:t>
      </w:r>
      <w:r>
        <w:rPr>
          <w:rFonts w:ascii="仿宋" w:hAnsi="仿宋" w:eastAsia="仿宋"/>
          <w:sz w:val="32"/>
          <w:szCs w:val="32"/>
        </w:rPr>
        <w:t>5%+劳育成绩×5%</w:t>
      </w:r>
    </w:p>
    <w:p w14:paraId="52651D91"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三、德育测评</w:t>
      </w:r>
    </w:p>
    <w:p w14:paraId="7C08353E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德育成绩（</w:t>
      </w:r>
      <w:r>
        <w:rPr>
          <w:rFonts w:ascii="仿宋" w:hAnsi="仿宋" w:eastAsia="仿宋"/>
          <w:sz w:val="32"/>
          <w:szCs w:val="32"/>
        </w:rPr>
        <w:t>100分）=思想品德测评分值（70分）＋德育加分（30分）-扣分项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5F3B24B5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（一）德育基础分：思想品德测评分值（</w:t>
      </w:r>
      <w:r>
        <w:rPr>
          <w:rFonts w:ascii="仿宋" w:hAnsi="仿宋" w:eastAsia="仿宋"/>
          <w:sz w:val="32"/>
          <w:szCs w:val="32"/>
        </w:rPr>
        <w:t>70分）</w:t>
      </w:r>
    </w:p>
    <w:p w14:paraId="34E9D7A3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学生思想品德测评分值</w:t>
      </w:r>
      <w:r>
        <w:rPr>
          <w:rFonts w:ascii="仿宋" w:hAnsi="仿宋" w:eastAsia="仿宋"/>
          <w:sz w:val="32"/>
          <w:szCs w:val="32"/>
        </w:rPr>
        <w:t>=（辅导员评分×50%+班团委员会评分20%+班级学生互</w:t>
      </w:r>
      <w:r>
        <w:rPr>
          <w:rFonts w:hint="eastAsia" w:ascii="仿宋" w:hAnsi="仿宋" w:eastAsia="仿宋"/>
          <w:sz w:val="32"/>
          <w:szCs w:val="32"/>
        </w:rPr>
        <w:t>评平均分×</w:t>
      </w:r>
      <w:r>
        <w:rPr>
          <w:rFonts w:ascii="仿宋" w:hAnsi="仿宋" w:eastAsia="仿宋"/>
          <w:sz w:val="32"/>
          <w:szCs w:val="32"/>
        </w:rPr>
        <w:t>20%+班主任评分×10%）×70%</w:t>
      </w:r>
    </w:p>
    <w:p w14:paraId="71CECFF4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主要从理想信念、集体观念、公共道德、学习态度、组织纪律等五个方面表现进行综合评价，每项</w:t>
      </w:r>
      <w:r>
        <w:rPr>
          <w:rFonts w:ascii="仿宋" w:hAnsi="仿宋" w:eastAsia="仿宋"/>
          <w:sz w:val="32"/>
          <w:szCs w:val="32"/>
        </w:rPr>
        <w:t>20分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48F3A05A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（二）德育加分（</w:t>
      </w:r>
      <w:r>
        <w:rPr>
          <w:rFonts w:ascii="仿宋" w:hAnsi="仿宋" w:eastAsia="仿宋"/>
          <w:sz w:val="32"/>
          <w:szCs w:val="32"/>
        </w:rPr>
        <w:t>30分）</w:t>
      </w:r>
    </w:p>
    <w:p w14:paraId="265AC8BB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德育加分由思想品德表现和</w:t>
      </w:r>
      <w:bookmarkStart w:id="0" w:name="OLE_LINK4"/>
      <w:r>
        <w:rPr>
          <w:rFonts w:hint="eastAsia" w:ascii="仿宋" w:hAnsi="仿宋" w:eastAsia="仿宋"/>
          <w:sz w:val="32"/>
          <w:szCs w:val="32"/>
        </w:rPr>
        <w:t>学生社会工作</w:t>
      </w:r>
      <w:bookmarkEnd w:id="0"/>
      <w:r>
        <w:rPr>
          <w:rFonts w:hint="eastAsia" w:ascii="仿宋" w:hAnsi="仿宋" w:eastAsia="仿宋"/>
          <w:sz w:val="32"/>
          <w:szCs w:val="32"/>
        </w:rPr>
        <w:t>组成，各项分值可累加，上限不超过</w:t>
      </w:r>
      <w:r>
        <w:rPr>
          <w:rFonts w:ascii="仿宋" w:hAnsi="仿宋" w:eastAsia="仿宋"/>
          <w:sz w:val="32"/>
          <w:szCs w:val="32"/>
        </w:rPr>
        <w:t>30分。</w:t>
      </w:r>
    </w:p>
    <w:p w14:paraId="2FC88104">
      <w:pPr>
        <w:pStyle w:val="6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思想品德表现</w:t>
      </w:r>
    </w:p>
    <w:p w14:paraId="1952E0E2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包括集体荣誉、个人荣誉、学习进步和积极表现四个方面，按下</w:t>
      </w:r>
      <w:r>
        <w:rPr>
          <w:rFonts w:hint="eastAsia" w:ascii="仿宋" w:hAnsi="仿宋" w:eastAsia="仿宋"/>
          <w:sz w:val="32"/>
          <w:szCs w:val="32"/>
        </w:rPr>
        <w:t>述标准加分，如所获荣誉不分级别，视为该等级一等奖。</w:t>
      </w:r>
    </w:p>
    <w:tbl>
      <w:tblPr>
        <w:tblStyle w:val="4"/>
        <w:tblW w:w="80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802"/>
        <w:gridCol w:w="3227"/>
        <w:gridCol w:w="1065"/>
      </w:tblGrid>
      <w:tr w14:paraId="5B63A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shd w:val="clear" w:color="auto" w:fill="auto"/>
            <w:noWrap/>
            <w:vAlign w:val="center"/>
          </w:tcPr>
          <w:p w14:paraId="2B4EA455"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14:paraId="03031A2A"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</w:tc>
        <w:tc>
          <w:tcPr>
            <w:tcW w:w="3227" w:type="dxa"/>
            <w:shd w:val="clear" w:color="auto" w:fill="auto"/>
            <w:noWrap/>
            <w:vAlign w:val="center"/>
          </w:tcPr>
          <w:p w14:paraId="290F6319"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级别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4E598582"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加分</w:t>
            </w:r>
          </w:p>
        </w:tc>
      </w:tr>
      <w:tr w14:paraId="6B7E9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restart"/>
            <w:shd w:val="clear" w:color="auto" w:fill="auto"/>
            <w:vAlign w:val="center"/>
          </w:tcPr>
          <w:p w14:paraId="19B2C2AB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集体荣誉加分（党支部、团支部、班级、宿舍等获得的集体荣誉，集体成员每人均按对应级别加分）</w:t>
            </w:r>
          </w:p>
        </w:tc>
        <w:tc>
          <w:tcPr>
            <w:tcW w:w="1802" w:type="dxa"/>
            <w:vMerge w:val="restart"/>
            <w:shd w:val="clear" w:color="auto" w:fill="auto"/>
            <w:noWrap/>
            <w:vAlign w:val="center"/>
          </w:tcPr>
          <w:p w14:paraId="79E2DB75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国家级</w:t>
            </w:r>
          </w:p>
        </w:tc>
        <w:tc>
          <w:tcPr>
            <w:tcW w:w="3227" w:type="dxa"/>
            <w:shd w:val="clear" w:color="auto" w:fill="auto"/>
            <w:noWrap/>
            <w:vAlign w:val="center"/>
          </w:tcPr>
          <w:p w14:paraId="0F0A0055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一等奖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0DBB74DB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  <w:tr w14:paraId="7C21B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vAlign w:val="center"/>
          </w:tcPr>
          <w:p w14:paraId="7358C4C3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2F81519F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7" w:type="dxa"/>
            <w:shd w:val="clear" w:color="auto" w:fill="auto"/>
            <w:noWrap/>
            <w:vAlign w:val="center"/>
          </w:tcPr>
          <w:p w14:paraId="0F250014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二等奖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1980C567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</w:tr>
      <w:tr w14:paraId="3D1C6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vAlign w:val="center"/>
          </w:tcPr>
          <w:p w14:paraId="341628D4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51292BF3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7" w:type="dxa"/>
            <w:shd w:val="clear" w:color="auto" w:fill="auto"/>
            <w:noWrap/>
            <w:vAlign w:val="center"/>
          </w:tcPr>
          <w:p w14:paraId="3387E870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三等奖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7FECDE62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</w:tr>
      <w:tr w14:paraId="3187E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vAlign w:val="center"/>
          </w:tcPr>
          <w:p w14:paraId="05285996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78018763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7" w:type="dxa"/>
            <w:shd w:val="clear" w:color="auto" w:fill="auto"/>
            <w:noWrap/>
            <w:vAlign w:val="center"/>
          </w:tcPr>
          <w:p w14:paraId="6DB3CE22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鼓励奖/优秀奖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25F7E138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</w:tr>
      <w:tr w14:paraId="1E9B5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980" w:type="dxa"/>
            <w:vMerge w:val="continue"/>
            <w:vAlign w:val="center"/>
          </w:tcPr>
          <w:p w14:paraId="459CEFB3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restart"/>
            <w:shd w:val="clear" w:color="auto" w:fill="auto"/>
            <w:noWrap/>
            <w:vAlign w:val="center"/>
          </w:tcPr>
          <w:p w14:paraId="30A47A2C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省部级</w:t>
            </w:r>
          </w:p>
        </w:tc>
        <w:tc>
          <w:tcPr>
            <w:tcW w:w="3227" w:type="dxa"/>
            <w:shd w:val="clear" w:color="auto" w:fill="auto"/>
            <w:noWrap/>
            <w:vAlign w:val="center"/>
          </w:tcPr>
          <w:p w14:paraId="30EFC326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一等奖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791E687C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</w:tr>
      <w:tr w14:paraId="6BFF2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vAlign w:val="center"/>
          </w:tcPr>
          <w:p w14:paraId="491314E5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7C1580A3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7" w:type="dxa"/>
            <w:shd w:val="clear" w:color="auto" w:fill="auto"/>
            <w:noWrap/>
            <w:vAlign w:val="center"/>
          </w:tcPr>
          <w:p w14:paraId="5FF4D92F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二等奖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4F3CD689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 w14:paraId="7AAA1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vAlign w:val="center"/>
          </w:tcPr>
          <w:p w14:paraId="366C49D6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73595AB3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7" w:type="dxa"/>
            <w:shd w:val="clear" w:color="auto" w:fill="auto"/>
            <w:noWrap/>
            <w:vAlign w:val="center"/>
          </w:tcPr>
          <w:p w14:paraId="45F97B90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三等奖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0F062AF1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3CDB6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vAlign w:val="center"/>
          </w:tcPr>
          <w:p w14:paraId="6ADC5760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2210EABF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7" w:type="dxa"/>
            <w:shd w:val="clear" w:color="auto" w:fill="auto"/>
            <w:noWrap/>
            <w:vAlign w:val="center"/>
          </w:tcPr>
          <w:p w14:paraId="7E0A7860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鼓励奖/优秀奖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72B8F6A7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 w14:paraId="36205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vAlign w:val="center"/>
          </w:tcPr>
          <w:p w14:paraId="48210C1A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restart"/>
            <w:shd w:val="clear" w:color="auto" w:fill="auto"/>
            <w:noWrap/>
            <w:vAlign w:val="center"/>
          </w:tcPr>
          <w:p w14:paraId="36DA26E6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校级</w:t>
            </w:r>
          </w:p>
        </w:tc>
        <w:tc>
          <w:tcPr>
            <w:tcW w:w="3227" w:type="dxa"/>
            <w:shd w:val="clear" w:color="auto" w:fill="auto"/>
            <w:noWrap/>
            <w:vAlign w:val="center"/>
          </w:tcPr>
          <w:p w14:paraId="6A131D25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一等奖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7A51FB3D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 w14:paraId="0E7C7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vAlign w:val="center"/>
          </w:tcPr>
          <w:p w14:paraId="12615A91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3BDC35F5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7" w:type="dxa"/>
            <w:shd w:val="clear" w:color="auto" w:fill="auto"/>
            <w:noWrap/>
            <w:vAlign w:val="center"/>
          </w:tcPr>
          <w:p w14:paraId="0A0EC436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二等奖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7389F4AD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6D67D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vAlign w:val="center"/>
          </w:tcPr>
          <w:p w14:paraId="592F0FFD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7D854AC0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7" w:type="dxa"/>
            <w:shd w:val="clear" w:color="auto" w:fill="auto"/>
            <w:noWrap/>
            <w:vAlign w:val="center"/>
          </w:tcPr>
          <w:p w14:paraId="7D91B2E3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三等奖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5988BA81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3A22E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980" w:type="dxa"/>
            <w:vMerge w:val="continue"/>
            <w:vAlign w:val="center"/>
          </w:tcPr>
          <w:p w14:paraId="43272ABB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shd w:val="clear" w:color="auto" w:fill="auto"/>
            <w:noWrap/>
            <w:vAlign w:val="center"/>
          </w:tcPr>
          <w:p w14:paraId="509F26DE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院级</w:t>
            </w:r>
          </w:p>
        </w:tc>
        <w:tc>
          <w:tcPr>
            <w:tcW w:w="3227" w:type="dxa"/>
            <w:shd w:val="clear" w:color="auto" w:fill="auto"/>
            <w:noWrap/>
            <w:vAlign w:val="center"/>
          </w:tcPr>
          <w:p w14:paraId="04A2F1D0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一等奖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7A235FE6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17211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restart"/>
            <w:shd w:val="clear" w:color="auto" w:fill="auto"/>
            <w:vAlign w:val="center"/>
          </w:tcPr>
          <w:p w14:paraId="674EC070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个人荣誉加分 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（参加德育类主题征文、演讲比赛、知识竞赛、作品征集等获奖；荣获思政类相关荣誉称号，获得通报表扬、嘉奖、立功等荣誉）</w:t>
            </w:r>
          </w:p>
        </w:tc>
        <w:tc>
          <w:tcPr>
            <w:tcW w:w="1802" w:type="dxa"/>
            <w:vMerge w:val="restart"/>
            <w:shd w:val="clear" w:color="auto" w:fill="auto"/>
            <w:noWrap/>
            <w:vAlign w:val="center"/>
          </w:tcPr>
          <w:p w14:paraId="533966F2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国家级</w:t>
            </w:r>
          </w:p>
        </w:tc>
        <w:tc>
          <w:tcPr>
            <w:tcW w:w="3227" w:type="dxa"/>
            <w:shd w:val="clear" w:color="auto" w:fill="auto"/>
            <w:noWrap/>
            <w:vAlign w:val="center"/>
          </w:tcPr>
          <w:p w14:paraId="5C2F3F15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一等奖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1B93FB6C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</w:tr>
      <w:tr w14:paraId="55E4E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vAlign w:val="center"/>
          </w:tcPr>
          <w:p w14:paraId="6C43B2AE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7C2ABB76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7" w:type="dxa"/>
            <w:shd w:val="clear" w:color="auto" w:fill="auto"/>
            <w:noWrap/>
            <w:vAlign w:val="center"/>
          </w:tcPr>
          <w:p w14:paraId="0E66A09F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二等奖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122CA5E4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</w:tr>
      <w:tr w14:paraId="114C6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vAlign w:val="center"/>
          </w:tcPr>
          <w:p w14:paraId="48EB72BC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0B9D8425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7" w:type="dxa"/>
            <w:shd w:val="clear" w:color="auto" w:fill="auto"/>
            <w:noWrap/>
            <w:vAlign w:val="center"/>
          </w:tcPr>
          <w:p w14:paraId="34E33DDC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三等奖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0CC8E02A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 w14:paraId="34BA7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vAlign w:val="center"/>
          </w:tcPr>
          <w:p w14:paraId="3B9B8FCB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59E8416D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7" w:type="dxa"/>
            <w:shd w:val="clear" w:color="auto" w:fill="auto"/>
            <w:noWrap/>
            <w:vAlign w:val="center"/>
          </w:tcPr>
          <w:p w14:paraId="3E22D4E7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鼓励奖/优秀奖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594E87BF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</w:tr>
      <w:tr w14:paraId="79CCD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vAlign w:val="center"/>
          </w:tcPr>
          <w:p w14:paraId="719220B3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restart"/>
            <w:shd w:val="clear" w:color="auto" w:fill="auto"/>
            <w:noWrap/>
            <w:vAlign w:val="center"/>
          </w:tcPr>
          <w:p w14:paraId="0DFD56D6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省部级</w:t>
            </w:r>
          </w:p>
        </w:tc>
        <w:tc>
          <w:tcPr>
            <w:tcW w:w="3227" w:type="dxa"/>
            <w:shd w:val="clear" w:color="auto" w:fill="auto"/>
            <w:noWrap/>
            <w:vAlign w:val="center"/>
          </w:tcPr>
          <w:p w14:paraId="4AF9011F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一等奖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4DACD0A3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36A4C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vAlign w:val="center"/>
          </w:tcPr>
          <w:p w14:paraId="425D4604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0F53E917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7" w:type="dxa"/>
            <w:shd w:val="clear" w:color="auto" w:fill="auto"/>
            <w:noWrap/>
            <w:vAlign w:val="center"/>
          </w:tcPr>
          <w:p w14:paraId="2121BE78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二等奖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2694D464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 w14:paraId="023FE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vAlign w:val="center"/>
          </w:tcPr>
          <w:p w14:paraId="6BABE84D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3CFBC9B5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7" w:type="dxa"/>
            <w:shd w:val="clear" w:color="auto" w:fill="auto"/>
            <w:noWrap/>
            <w:vAlign w:val="center"/>
          </w:tcPr>
          <w:p w14:paraId="227608C9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三等奖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253BCD4E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 w14:paraId="59F3D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vAlign w:val="center"/>
          </w:tcPr>
          <w:p w14:paraId="69349025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208ABAFB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7" w:type="dxa"/>
            <w:shd w:val="clear" w:color="auto" w:fill="auto"/>
            <w:noWrap/>
            <w:vAlign w:val="center"/>
          </w:tcPr>
          <w:p w14:paraId="0533EA02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鼓励奖/优秀奖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33A4F265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 w14:paraId="59EA8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vAlign w:val="center"/>
          </w:tcPr>
          <w:p w14:paraId="79C664C5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restart"/>
            <w:shd w:val="clear" w:color="auto" w:fill="auto"/>
            <w:noWrap/>
            <w:vAlign w:val="center"/>
          </w:tcPr>
          <w:p w14:paraId="4B14CBD5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校级</w:t>
            </w:r>
          </w:p>
        </w:tc>
        <w:tc>
          <w:tcPr>
            <w:tcW w:w="3227" w:type="dxa"/>
            <w:shd w:val="clear" w:color="auto" w:fill="auto"/>
            <w:noWrap/>
            <w:vAlign w:val="center"/>
          </w:tcPr>
          <w:p w14:paraId="77DC845D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一等奖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61CEE9C1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 w14:paraId="65F3A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vAlign w:val="center"/>
          </w:tcPr>
          <w:p w14:paraId="1588311A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24D07728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7" w:type="dxa"/>
            <w:shd w:val="clear" w:color="auto" w:fill="auto"/>
            <w:noWrap/>
            <w:vAlign w:val="center"/>
          </w:tcPr>
          <w:p w14:paraId="6C7802A9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二等奖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530AF206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1A02B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vAlign w:val="center"/>
          </w:tcPr>
          <w:p w14:paraId="4F7DD71C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29B226DD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7" w:type="dxa"/>
            <w:shd w:val="clear" w:color="auto" w:fill="auto"/>
            <w:noWrap/>
            <w:vAlign w:val="center"/>
          </w:tcPr>
          <w:p w14:paraId="3289B005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三等奖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67329172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34512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vAlign w:val="center"/>
          </w:tcPr>
          <w:p w14:paraId="7516AE68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shd w:val="clear" w:color="auto" w:fill="auto"/>
            <w:noWrap/>
            <w:vAlign w:val="center"/>
          </w:tcPr>
          <w:p w14:paraId="022DC0F9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院级</w:t>
            </w:r>
          </w:p>
        </w:tc>
        <w:tc>
          <w:tcPr>
            <w:tcW w:w="3227" w:type="dxa"/>
            <w:shd w:val="clear" w:color="auto" w:fill="auto"/>
            <w:noWrap/>
            <w:vAlign w:val="center"/>
          </w:tcPr>
          <w:p w14:paraId="3050C73B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一等奖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25F7F3CF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5C86A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80" w:type="dxa"/>
            <w:vMerge w:val="restart"/>
            <w:shd w:val="clear" w:color="auto" w:fill="auto"/>
            <w:noWrap/>
            <w:vAlign w:val="center"/>
          </w:tcPr>
          <w:p w14:paraId="2761087D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学习进步加分 </w:t>
            </w:r>
          </w:p>
        </w:tc>
        <w:tc>
          <w:tcPr>
            <w:tcW w:w="5029" w:type="dxa"/>
            <w:gridSpan w:val="2"/>
            <w:vMerge w:val="restart"/>
            <w:shd w:val="clear" w:color="auto" w:fill="auto"/>
            <w:vAlign w:val="center"/>
          </w:tcPr>
          <w:p w14:paraId="508F6E7D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经过本人刻苦努力，学年内智育成绩排名在同年级同专业中比上一学年度提高，根据进步幅度加分，加分细则另附</w:t>
            </w:r>
          </w:p>
        </w:tc>
        <w:tc>
          <w:tcPr>
            <w:tcW w:w="1065" w:type="dxa"/>
            <w:vMerge w:val="restart"/>
            <w:shd w:val="clear" w:color="auto" w:fill="auto"/>
            <w:noWrap/>
            <w:vAlign w:val="center"/>
          </w:tcPr>
          <w:p w14:paraId="298E8B67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0-10</w:t>
            </w:r>
          </w:p>
        </w:tc>
      </w:tr>
      <w:tr w14:paraId="5A4C2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80" w:type="dxa"/>
            <w:vMerge w:val="continue"/>
            <w:vAlign w:val="center"/>
          </w:tcPr>
          <w:p w14:paraId="34DAF5E8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29" w:type="dxa"/>
            <w:gridSpan w:val="2"/>
            <w:vMerge w:val="continue"/>
            <w:vAlign w:val="center"/>
          </w:tcPr>
          <w:p w14:paraId="4F189441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5" w:type="dxa"/>
            <w:vMerge w:val="continue"/>
            <w:vAlign w:val="center"/>
          </w:tcPr>
          <w:p w14:paraId="7CFC6CAF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92A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80" w:type="dxa"/>
            <w:vMerge w:val="continue"/>
            <w:vAlign w:val="center"/>
          </w:tcPr>
          <w:p w14:paraId="35B9B394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29" w:type="dxa"/>
            <w:gridSpan w:val="2"/>
            <w:vMerge w:val="continue"/>
            <w:vAlign w:val="center"/>
          </w:tcPr>
          <w:p w14:paraId="302B0324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5" w:type="dxa"/>
            <w:vMerge w:val="continue"/>
            <w:vAlign w:val="center"/>
          </w:tcPr>
          <w:p w14:paraId="7D2455C4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FD0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80" w:type="dxa"/>
            <w:vMerge w:val="continue"/>
            <w:vAlign w:val="center"/>
          </w:tcPr>
          <w:p w14:paraId="791AE0DB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29" w:type="dxa"/>
            <w:gridSpan w:val="2"/>
            <w:vMerge w:val="continue"/>
            <w:vAlign w:val="center"/>
          </w:tcPr>
          <w:p w14:paraId="173131B0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5" w:type="dxa"/>
            <w:vMerge w:val="continue"/>
            <w:vAlign w:val="center"/>
          </w:tcPr>
          <w:p w14:paraId="554BF7CA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2E6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80" w:type="dxa"/>
            <w:vMerge w:val="restart"/>
            <w:shd w:val="clear" w:color="auto" w:fill="auto"/>
            <w:vAlign w:val="center"/>
          </w:tcPr>
          <w:p w14:paraId="3C5B2CEF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积极表现加分 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（经相关职能部门或学院认定）</w:t>
            </w:r>
          </w:p>
        </w:tc>
        <w:tc>
          <w:tcPr>
            <w:tcW w:w="1802" w:type="dxa"/>
            <w:vMerge w:val="restart"/>
            <w:shd w:val="clear" w:color="auto" w:fill="auto"/>
            <w:vAlign w:val="center"/>
          </w:tcPr>
          <w:p w14:paraId="10D7A65E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在服务社会奉献社会方面表现突出</w:t>
            </w:r>
          </w:p>
        </w:tc>
        <w:tc>
          <w:tcPr>
            <w:tcW w:w="3227" w:type="dxa"/>
            <w:vMerge w:val="restart"/>
            <w:shd w:val="clear" w:color="auto" w:fill="auto"/>
            <w:vAlign w:val="center"/>
          </w:tcPr>
          <w:p w14:paraId="3C1619F3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事迹特别突出、有重大影响（如获见义勇为荣誉称号、捐献造血干细胞等）</w:t>
            </w:r>
          </w:p>
        </w:tc>
        <w:tc>
          <w:tcPr>
            <w:tcW w:w="1065" w:type="dxa"/>
            <w:vMerge w:val="restart"/>
            <w:shd w:val="clear" w:color="auto" w:fill="auto"/>
            <w:noWrap/>
            <w:vAlign w:val="center"/>
          </w:tcPr>
          <w:p w14:paraId="36EE42CA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</w:tr>
      <w:tr w14:paraId="1ED2E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80" w:type="dxa"/>
            <w:vMerge w:val="continue"/>
            <w:vAlign w:val="center"/>
          </w:tcPr>
          <w:p w14:paraId="23590CD7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2A4E4E1A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7" w:type="dxa"/>
            <w:vMerge w:val="continue"/>
            <w:vAlign w:val="center"/>
          </w:tcPr>
          <w:p w14:paraId="1917058D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5" w:type="dxa"/>
            <w:vMerge w:val="continue"/>
            <w:vAlign w:val="center"/>
          </w:tcPr>
          <w:p w14:paraId="233CBE5A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68E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80" w:type="dxa"/>
            <w:vMerge w:val="continue"/>
            <w:vAlign w:val="center"/>
          </w:tcPr>
          <w:p w14:paraId="1B6C62F5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281D22FA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7" w:type="dxa"/>
            <w:vMerge w:val="continue"/>
            <w:vAlign w:val="center"/>
          </w:tcPr>
          <w:p w14:paraId="00D39FB9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5" w:type="dxa"/>
            <w:vMerge w:val="continue"/>
            <w:vAlign w:val="center"/>
          </w:tcPr>
          <w:p w14:paraId="51A339F2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E35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80" w:type="dxa"/>
            <w:vMerge w:val="continue"/>
            <w:vAlign w:val="center"/>
          </w:tcPr>
          <w:p w14:paraId="32699A16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18491057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7" w:type="dxa"/>
            <w:vMerge w:val="continue"/>
            <w:vAlign w:val="center"/>
          </w:tcPr>
          <w:p w14:paraId="4604A4FC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5" w:type="dxa"/>
            <w:vMerge w:val="continue"/>
            <w:vAlign w:val="center"/>
          </w:tcPr>
          <w:p w14:paraId="3B3A270C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A67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80" w:type="dxa"/>
            <w:vMerge w:val="continue"/>
            <w:vAlign w:val="center"/>
          </w:tcPr>
          <w:p w14:paraId="065B4E8E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77E15C99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7" w:type="dxa"/>
            <w:vMerge w:val="restart"/>
            <w:shd w:val="clear" w:color="auto" w:fill="auto"/>
            <w:vAlign w:val="center"/>
          </w:tcPr>
          <w:p w14:paraId="1BAA5092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事迹突出、有较大影响的（如在抢险救灾等应急事件处置中表现突出等），并接受表彰和报道</w:t>
            </w:r>
          </w:p>
        </w:tc>
        <w:tc>
          <w:tcPr>
            <w:tcW w:w="1065" w:type="dxa"/>
            <w:vMerge w:val="restart"/>
            <w:shd w:val="clear" w:color="auto" w:fill="auto"/>
            <w:noWrap/>
            <w:vAlign w:val="center"/>
          </w:tcPr>
          <w:p w14:paraId="6FE1B599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</w:tr>
      <w:tr w14:paraId="048FA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80" w:type="dxa"/>
            <w:vMerge w:val="continue"/>
            <w:vAlign w:val="center"/>
          </w:tcPr>
          <w:p w14:paraId="06E5C027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37095E60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7" w:type="dxa"/>
            <w:vMerge w:val="continue"/>
            <w:vAlign w:val="center"/>
          </w:tcPr>
          <w:p w14:paraId="7D766A47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5" w:type="dxa"/>
            <w:vMerge w:val="continue"/>
            <w:vAlign w:val="center"/>
          </w:tcPr>
          <w:p w14:paraId="42D82B17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3A0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80" w:type="dxa"/>
            <w:vMerge w:val="continue"/>
            <w:vAlign w:val="center"/>
          </w:tcPr>
          <w:p w14:paraId="15CDE96A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178031EC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7" w:type="dxa"/>
            <w:vMerge w:val="continue"/>
            <w:vAlign w:val="center"/>
          </w:tcPr>
          <w:p w14:paraId="2C07D6DE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5" w:type="dxa"/>
            <w:vMerge w:val="continue"/>
            <w:vAlign w:val="center"/>
          </w:tcPr>
          <w:p w14:paraId="43CADBF7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DA0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80" w:type="dxa"/>
            <w:vMerge w:val="continue"/>
            <w:vAlign w:val="center"/>
          </w:tcPr>
          <w:p w14:paraId="255600A0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6F62B82A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7" w:type="dxa"/>
            <w:vMerge w:val="continue"/>
            <w:vAlign w:val="center"/>
          </w:tcPr>
          <w:p w14:paraId="39400C62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5" w:type="dxa"/>
            <w:vMerge w:val="continue"/>
            <w:vAlign w:val="center"/>
          </w:tcPr>
          <w:p w14:paraId="6927DF72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8D5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80" w:type="dxa"/>
            <w:vMerge w:val="continue"/>
            <w:vAlign w:val="center"/>
          </w:tcPr>
          <w:p w14:paraId="6F7EEE95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7393C96E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7" w:type="dxa"/>
            <w:vMerge w:val="restart"/>
            <w:shd w:val="clear" w:color="auto" w:fill="auto"/>
            <w:vAlign w:val="center"/>
          </w:tcPr>
          <w:p w14:paraId="07A3722E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事迹比较突出、有一定影响的（如拾金不昧、无偿献血等），采纳并接受表彰或报道</w:t>
            </w:r>
          </w:p>
        </w:tc>
        <w:tc>
          <w:tcPr>
            <w:tcW w:w="1065" w:type="dxa"/>
            <w:vMerge w:val="restart"/>
            <w:shd w:val="clear" w:color="auto" w:fill="auto"/>
            <w:noWrap/>
            <w:vAlign w:val="center"/>
          </w:tcPr>
          <w:p w14:paraId="246013DF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 w14:paraId="4A00A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80" w:type="dxa"/>
            <w:vMerge w:val="continue"/>
            <w:vAlign w:val="center"/>
          </w:tcPr>
          <w:p w14:paraId="25ACB664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6DDDF2F8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7" w:type="dxa"/>
            <w:vMerge w:val="continue"/>
            <w:vAlign w:val="center"/>
          </w:tcPr>
          <w:p w14:paraId="76BEF4DC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5" w:type="dxa"/>
            <w:vMerge w:val="continue"/>
            <w:vAlign w:val="center"/>
          </w:tcPr>
          <w:p w14:paraId="16C49F93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4CE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80" w:type="dxa"/>
            <w:vMerge w:val="continue"/>
            <w:vAlign w:val="center"/>
          </w:tcPr>
          <w:p w14:paraId="165A1B72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19DBA801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7" w:type="dxa"/>
            <w:vMerge w:val="continue"/>
            <w:vAlign w:val="center"/>
          </w:tcPr>
          <w:p w14:paraId="1AC8DBB3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5" w:type="dxa"/>
            <w:vMerge w:val="continue"/>
            <w:vAlign w:val="center"/>
          </w:tcPr>
          <w:p w14:paraId="26A11162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A2C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80" w:type="dxa"/>
            <w:vMerge w:val="continue"/>
            <w:vAlign w:val="center"/>
          </w:tcPr>
          <w:p w14:paraId="000D33F9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158F7ECC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7" w:type="dxa"/>
            <w:vMerge w:val="continue"/>
            <w:vAlign w:val="center"/>
          </w:tcPr>
          <w:p w14:paraId="3D001973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5" w:type="dxa"/>
            <w:vMerge w:val="continue"/>
            <w:vAlign w:val="center"/>
          </w:tcPr>
          <w:p w14:paraId="47DD20E5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72E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80" w:type="dxa"/>
            <w:vMerge w:val="continue"/>
            <w:vAlign w:val="center"/>
          </w:tcPr>
          <w:p w14:paraId="67853FE7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restart"/>
            <w:shd w:val="clear" w:color="auto" w:fill="auto"/>
            <w:vAlign w:val="center"/>
          </w:tcPr>
          <w:p w14:paraId="7DF16F82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参与重大活动服务保障</w:t>
            </w:r>
          </w:p>
        </w:tc>
        <w:tc>
          <w:tcPr>
            <w:tcW w:w="3227" w:type="dxa"/>
            <w:shd w:val="clear" w:color="auto" w:fill="auto"/>
            <w:noWrap/>
            <w:vAlign w:val="center"/>
          </w:tcPr>
          <w:p w14:paraId="324FD254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国家级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3B449CFC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 w14:paraId="5205E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80" w:type="dxa"/>
            <w:vMerge w:val="continue"/>
            <w:vAlign w:val="center"/>
          </w:tcPr>
          <w:p w14:paraId="004227E6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05014759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7" w:type="dxa"/>
            <w:vMerge w:val="restart"/>
            <w:shd w:val="clear" w:color="auto" w:fill="auto"/>
            <w:noWrap/>
            <w:vAlign w:val="center"/>
          </w:tcPr>
          <w:p w14:paraId="1D1ADBEE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省部级</w:t>
            </w:r>
          </w:p>
        </w:tc>
        <w:tc>
          <w:tcPr>
            <w:tcW w:w="1065" w:type="dxa"/>
            <w:vMerge w:val="restart"/>
            <w:shd w:val="clear" w:color="auto" w:fill="auto"/>
            <w:noWrap/>
            <w:vAlign w:val="center"/>
          </w:tcPr>
          <w:p w14:paraId="2A73FCF5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 w14:paraId="687FD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80" w:type="dxa"/>
            <w:vMerge w:val="continue"/>
            <w:vAlign w:val="center"/>
          </w:tcPr>
          <w:p w14:paraId="47A4B1FC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144CFA46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7" w:type="dxa"/>
            <w:vMerge w:val="continue"/>
            <w:vAlign w:val="center"/>
          </w:tcPr>
          <w:p w14:paraId="682A0E38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5" w:type="dxa"/>
            <w:vMerge w:val="continue"/>
            <w:vAlign w:val="center"/>
          </w:tcPr>
          <w:p w14:paraId="30705C6D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FBF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vAlign w:val="center"/>
          </w:tcPr>
          <w:p w14:paraId="0BAB0ED3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restart"/>
            <w:shd w:val="clear" w:color="auto" w:fill="auto"/>
            <w:noWrap/>
            <w:vAlign w:val="center"/>
          </w:tcPr>
          <w:p w14:paraId="3C647CA9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参与宣讲</w:t>
            </w:r>
          </w:p>
        </w:tc>
        <w:tc>
          <w:tcPr>
            <w:tcW w:w="3227" w:type="dxa"/>
            <w:shd w:val="clear" w:color="auto" w:fill="auto"/>
            <w:noWrap/>
            <w:vAlign w:val="center"/>
          </w:tcPr>
          <w:p w14:paraId="760F2839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国家级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3E8701D3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1B464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vAlign w:val="center"/>
          </w:tcPr>
          <w:p w14:paraId="15F09DD0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4AE2FDFE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7" w:type="dxa"/>
            <w:shd w:val="clear" w:color="auto" w:fill="auto"/>
            <w:noWrap/>
            <w:vAlign w:val="center"/>
          </w:tcPr>
          <w:p w14:paraId="0136D36B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省部级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2F5950B1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 w14:paraId="4E423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vAlign w:val="center"/>
          </w:tcPr>
          <w:p w14:paraId="7363EDFF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5BAE3CB2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7" w:type="dxa"/>
            <w:shd w:val="clear" w:color="auto" w:fill="auto"/>
            <w:noWrap/>
            <w:vAlign w:val="center"/>
          </w:tcPr>
          <w:p w14:paraId="465B4DDC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校级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37C6B88E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 w14:paraId="37C1B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vAlign w:val="center"/>
          </w:tcPr>
          <w:p w14:paraId="5CC06823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restart"/>
            <w:shd w:val="clear" w:color="auto" w:fill="auto"/>
            <w:vAlign w:val="center"/>
          </w:tcPr>
          <w:p w14:paraId="5C67DE3B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积极为学校事业发展做贡献</w:t>
            </w:r>
          </w:p>
        </w:tc>
        <w:tc>
          <w:tcPr>
            <w:tcW w:w="3227" w:type="dxa"/>
            <w:shd w:val="clear" w:color="auto" w:fill="auto"/>
            <w:noWrap/>
            <w:vAlign w:val="center"/>
          </w:tcPr>
          <w:p w14:paraId="17C55D45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积极建言献策被采纳 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0997DFC2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77F2C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80" w:type="dxa"/>
            <w:vMerge w:val="continue"/>
            <w:vAlign w:val="center"/>
          </w:tcPr>
          <w:p w14:paraId="1C91065E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02AE1154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7" w:type="dxa"/>
            <w:vMerge w:val="restart"/>
            <w:shd w:val="clear" w:color="auto" w:fill="auto"/>
            <w:vAlign w:val="center"/>
          </w:tcPr>
          <w:p w14:paraId="6ADB7A70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发现校园内安全隐患并及时拨打大学城派出所24小时值班电话（0990-6609110）上报，采纳并接受表彰和报道</w:t>
            </w:r>
          </w:p>
        </w:tc>
        <w:tc>
          <w:tcPr>
            <w:tcW w:w="1065" w:type="dxa"/>
            <w:vMerge w:val="restart"/>
            <w:shd w:val="clear" w:color="auto" w:fill="auto"/>
            <w:noWrap/>
            <w:vAlign w:val="center"/>
          </w:tcPr>
          <w:p w14:paraId="00F4FA01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2612B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80" w:type="dxa"/>
            <w:vMerge w:val="continue"/>
            <w:vAlign w:val="center"/>
          </w:tcPr>
          <w:p w14:paraId="36BECAD4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5077F6AA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7" w:type="dxa"/>
            <w:vMerge w:val="continue"/>
            <w:vAlign w:val="center"/>
          </w:tcPr>
          <w:p w14:paraId="253EB4D2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5" w:type="dxa"/>
            <w:vMerge w:val="continue"/>
            <w:vAlign w:val="center"/>
          </w:tcPr>
          <w:p w14:paraId="71ABA6B1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6C3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80" w:type="dxa"/>
            <w:vMerge w:val="continue"/>
            <w:vAlign w:val="center"/>
          </w:tcPr>
          <w:p w14:paraId="369C087A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1AFDF8A1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7" w:type="dxa"/>
            <w:vMerge w:val="continue"/>
            <w:vAlign w:val="center"/>
          </w:tcPr>
          <w:p w14:paraId="1C37F6D5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5" w:type="dxa"/>
            <w:vMerge w:val="continue"/>
            <w:vAlign w:val="center"/>
          </w:tcPr>
          <w:p w14:paraId="2A0501A7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3CB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80" w:type="dxa"/>
            <w:vMerge w:val="continue"/>
            <w:vAlign w:val="center"/>
          </w:tcPr>
          <w:p w14:paraId="0D6650DC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29" w:type="dxa"/>
            <w:gridSpan w:val="2"/>
            <w:vMerge w:val="restart"/>
            <w:shd w:val="clear" w:color="auto" w:fill="auto"/>
            <w:vAlign w:val="center"/>
          </w:tcPr>
          <w:p w14:paraId="2938B21C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参加官方组织的国际交流项目、会议或活动，提升学校影响力和美誉度</w:t>
            </w:r>
          </w:p>
        </w:tc>
        <w:tc>
          <w:tcPr>
            <w:tcW w:w="1065" w:type="dxa"/>
            <w:vMerge w:val="restart"/>
            <w:shd w:val="clear" w:color="auto" w:fill="auto"/>
            <w:noWrap/>
            <w:vAlign w:val="center"/>
          </w:tcPr>
          <w:p w14:paraId="7F15B0C3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76BA9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80" w:type="dxa"/>
            <w:vMerge w:val="continue"/>
            <w:vAlign w:val="center"/>
          </w:tcPr>
          <w:p w14:paraId="0967338B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29" w:type="dxa"/>
            <w:gridSpan w:val="2"/>
            <w:vMerge w:val="continue"/>
            <w:vAlign w:val="center"/>
          </w:tcPr>
          <w:p w14:paraId="57311830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5" w:type="dxa"/>
            <w:vMerge w:val="continue"/>
            <w:vAlign w:val="center"/>
          </w:tcPr>
          <w:p w14:paraId="1179C83A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99B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80" w:type="dxa"/>
            <w:vMerge w:val="continue"/>
            <w:vAlign w:val="center"/>
          </w:tcPr>
          <w:p w14:paraId="6F4F315E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29" w:type="dxa"/>
            <w:gridSpan w:val="2"/>
            <w:vMerge w:val="restart"/>
            <w:shd w:val="clear" w:color="auto" w:fill="auto"/>
            <w:vAlign w:val="center"/>
          </w:tcPr>
          <w:p w14:paraId="4C25D32A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担任学校学业辅导员、朋辈辅导员并考核合格</w:t>
            </w:r>
          </w:p>
        </w:tc>
        <w:tc>
          <w:tcPr>
            <w:tcW w:w="1065" w:type="dxa"/>
            <w:vMerge w:val="restart"/>
            <w:shd w:val="clear" w:color="auto" w:fill="auto"/>
            <w:noWrap/>
            <w:vAlign w:val="center"/>
          </w:tcPr>
          <w:p w14:paraId="6222E160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7D4B5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80" w:type="dxa"/>
            <w:vMerge w:val="continue"/>
            <w:vAlign w:val="center"/>
          </w:tcPr>
          <w:p w14:paraId="7D92B9BF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29" w:type="dxa"/>
            <w:gridSpan w:val="2"/>
            <w:vMerge w:val="continue"/>
            <w:vAlign w:val="center"/>
          </w:tcPr>
          <w:p w14:paraId="00ECCAC7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5" w:type="dxa"/>
            <w:vMerge w:val="continue"/>
            <w:vAlign w:val="center"/>
          </w:tcPr>
          <w:p w14:paraId="172BE779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488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vAlign w:val="center"/>
          </w:tcPr>
          <w:p w14:paraId="4F01A5C9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29" w:type="dxa"/>
            <w:gridSpan w:val="2"/>
            <w:shd w:val="clear" w:color="auto" w:fill="auto"/>
            <w:noWrap/>
            <w:vAlign w:val="center"/>
          </w:tcPr>
          <w:p w14:paraId="0D41EA50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考取专业相关证书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34C6ADD2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</w:tbl>
    <w:p w14:paraId="1E752EAC"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ascii="仿宋" w:hAnsi="仿宋" w:eastAsia="仿宋"/>
          <w:sz w:val="32"/>
          <w:szCs w:val="32"/>
        </w:rPr>
        <w:t>1）被评为</w:t>
      </w:r>
      <w:r>
        <w:rPr>
          <w:rFonts w:hint="eastAsia" w:ascii="仿宋" w:hAnsi="仿宋" w:eastAsia="仿宋"/>
          <w:sz w:val="32"/>
          <w:szCs w:val="32"/>
        </w:rPr>
        <w:t>校级示范班集体</w:t>
      </w:r>
      <w:r>
        <w:rPr>
          <w:rFonts w:ascii="仿宋" w:hAnsi="仿宋" w:eastAsia="仿宋"/>
          <w:sz w:val="32"/>
          <w:szCs w:val="32"/>
        </w:rPr>
        <w:t>的，每人加</w:t>
      </w:r>
      <w:r>
        <w:rPr>
          <w:rFonts w:hint="eastAsia" w:ascii="仿宋" w:hAnsi="仿宋" w:eastAsia="仿宋"/>
          <w:sz w:val="32"/>
          <w:szCs w:val="32"/>
        </w:rPr>
        <w:t>4</w:t>
      </w:r>
      <w:r>
        <w:rPr>
          <w:rFonts w:ascii="仿宋" w:hAnsi="仿宋" w:eastAsia="仿宋"/>
          <w:sz w:val="32"/>
          <w:szCs w:val="32"/>
        </w:rPr>
        <w:t>分；被评为校级先进班集体的，每人加</w:t>
      </w: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分；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被评为学院先进班集体的，每人加2分；被评为市级</w:t>
      </w:r>
      <w:bookmarkStart w:id="1" w:name="OLE_LINK17"/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先进班集体</w:t>
      </w:r>
      <w:bookmarkEnd w:id="1"/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的，每人加5分。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被评为先进党团支部的党团员也按上述标准加分。当学年出现成绩不及格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首修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或获得处分者，不参与集体加分。</w:t>
      </w:r>
    </w:p>
    <w:p w14:paraId="782EC5A1"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学年内智育成绩排名在同年级同专业中比上一学年度提高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5%-10%（含），加1分；提高10%-20%（含），加3分；提高20%-30%（含），加5分；提高30%-40%（含），加7分；提高40%-50%（含），加9分；提高大于50%，加10分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667F3487"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2.学生社会工作</w:t>
      </w:r>
    </w:p>
    <w:p w14:paraId="0291AF70"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担任学生干部或其它职务，任期满一学年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(含，下同)以上，根据其工作表现，按下述标准酌情加分(兼职学生干部按主职岗位计分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5F9FB688"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学生社会工作以一学年为任期标准进行考核并加分，不满一年者视工作表现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情况不予加分或按任职时长折算加分；因疾病住院等不可抗因素学年中不再担任班委的，可按照月份折算加分；因违纪、工作态度懈怠等原因中途卸任的不加分。在各级学生组织、学生工作机构、学生社团、党支部、团支部和班级中，坚持服务同学，认真履职尽责，突出服务贡献，切实完成各项工作的，根据各组织的相应规定按考核结果加分。</w:t>
      </w:r>
    </w:p>
    <w:p w14:paraId="5E87E5CF"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（2）校级学生组织和校级学生工作机构的成员由校团委负责考核，打分标准为0-12分；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院级学生组织及工作机构的成员、各党团班学生干部由各学院负责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考核并加分，加分标准为正副主席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0-10分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正副部长0-6分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部委0-4分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；校院学生社团的成员根据所在社团上一年度考核评定结果加分，加分标准为正副主席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0-8分；正副部长0-5分；部委0-3分。</w:t>
      </w:r>
    </w:p>
    <w:p w14:paraId="5610C5DB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（3）班长、团支部书记、辅导员助理计0-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6分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；班委</w:t>
      </w:r>
      <w:r>
        <w:rPr>
          <w:rFonts w:hint="eastAsia" w:ascii="仿宋" w:hAnsi="仿宋" w:eastAsia="仿宋"/>
          <w:sz w:val="32"/>
          <w:szCs w:val="32"/>
        </w:rPr>
        <w:t>、团支部委员计0-</w:t>
      </w:r>
      <w:r>
        <w:rPr>
          <w:rFonts w:ascii="仿宋" w:hAnsi="仿宋" w:eastAsia="仿宋"/>
          <w:sz w:val="32"/>
          <w:szCs w:val="32"/>
        </w:rPr>
        <w:t>4分</w:t>
      </w:r>
      <w:r>
        <w:rPr>
          <w:rFonts w:hint="eastAsia" w:ascii="仿宋" w:hAnsi="仿宋" w:eastAsia="仿宋"/>
          <w:sz w:val="32"/>
          <w:szCs w:val="32"/>
        </w:rPr>
        <w:t>；单元长、寝室长计0-3</w:t>
      </w:r>
      <w:r>
        <w:rPr>
          <w:rFonts w:ascii="仿宋" w:hAnsi="仿宋" w:eastAsia="仿宋"/>
          <w:sz w:val="32"/>
          <w:szCs w:val="32"/>
        </w:rPr>
        <w:t>分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21C0BF16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（4）</w:t>
      </w:r>
      <w:r>
        <w:rPr>
          <w:rFonts w:ascii="仿宋" w:hAnsi="仿宋" w:eastAsia="仿宋"/>
          <w:sz w:val="32"/>
          <w:szCs w:val="32"/>
        </w:rPr>
        <w:t>担任多个学生干部职务的，最多可累加2项，第二项职务加分乘上0.5的系数</w:t>
      </w:r>
      <w:r>
        <w:rPr>
          <w:rFonts w:hint="eastAsia" w:ascii="仿宋" w:hAnsi="仿宋" w:eastAsia="仿宋"/>
          <w:sz w:val="32"/>
          <w:szCs w:val="32"/>
        </w:rPr>
        <w:t>后累加。</w:t>
      </w:r>
    </w:p>
    <w:p w14:paraId="7A2E3222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3.扣分</w:t>
      </w:r>
    </w:p>
    <w:p w14:paraId="6405EEA3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（1）旷课、旷早晚自习（早操）者，每次扣</w:t>
      </w:r>
      <w:r>
        <w:rPr>
          <w:rFonts w:ascii="仿宋" w:hAnsi="仿宋" w:eastAsia="仿宋"/>
          <w:sz w:val="32"/>
          <w:szCs w:val="32"/>
        </w:rPr>
        <w:t>1分；迟到、早退者，每次扣0.5分（包括各种考勤活动及开会）。</w:t>
      </w:r>
    </w:p>
    <w:p w14:paraId="5CEB26AD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（2）因违反有关规定受有关部门批评教育者（有通知备案的），每次扣</w:t>
      </w:r>
      <w:r>
        <w:rPr>
          <w:rFonts w:ascii="仿宋" w:hAnsi="仿宋" w:eastAsia="仿宋"/>
          <w:sz w:val="32"/>
          <w:szCs w:val="32"/>
        </w:rPr>
        <w:t>4分</w:t>
      </w:r>
      <w:r>
        <w:rPr>
          <w:rFonts w:hint="eastAsia" w:ascii="仿宋" w:hAnsi="仿宋" w:eastAsia="仿宋"/>
          <w:sz w:val="32"/>
          <w:szCs w:val="32"/>
        </w:rPr>
        <w:t>；通报批评扣</w:t>
      </w:r>
      <w:r>
        <w:rPr>
          <w:rFonts w:ascii="仿宋" w:hAnsi="仿宋" w:eastAsia="仿宋"/>
          <w:sz w:val="32"/>
          <w:szCs w:val="32"/>
        </w:rPr>
        <w:t>10分；</w:t>
      </w:r>
      <w:r>
        <w:rPr>
          <w:rFonts w:hint="eastAsia" w:ascii="仿宋" w:hAnsi="仿宋" w:eastAsia="仿宋"/>
          <w:sz w:val="32"/>
          <w:szCs w:val="32"/>
        </w:rPr>
        <w:t>警告处分扣</w:t>
      </w:r>
      <w:r>
        <w:rPr>
          <w:rFonts w:ascii="仿宋" w:hAnsi="仿宋" w:eastAsia="仿宋"/>
          <w:sz w:val="32"/>
          <w:szCs w:val="32"/>
        </w:rPr>
        <w:t>15分；</w:t>
      </w:r>
      <w:r>
        <w:rPr>
          <w:rFonts w:hint="eastAsia" w:ascii="仿宋" w:hAnsi="仿宋" w:eastAsia="仿宋"/>
          <w:sz w:val="32"/>
          <w:szCs w:val="32"/>
        </w:rPr>
        <w:t>严重警告处分扣</w:t>
      </w:r>
      <w:r>
        <w:rPr>
          <w:rFonts w:ascii="仿宋" w:hAnsi="仿宋" w:eastAsia="仿宋"/>
          <w:sz w:val="32"/>
          <w:szCs w:val="32"/>
        </w:rPr>
        <w:t>25分；</w:t>
      </w:r>
      <w:r>
        <w:rPr>
          <w:rFonts w:hint="eastAsia" w:ascii="仿宋" w:hAnsi="仿宋" w:eastAsia="仿宋"/>
          <w:sz w:val="32"/>
          <w:szCs w:val="32"/>
        </w:rPr>
        <w:t>记过处分扣</w:t>
      </w:r>
      <w:r>
        <w:rPr>
          <w:rFonts w:ascii="仿宋" w:hAnsi="仿宋" w:eastAsia="仿宋"/>
          <w:sz w:val="32"/>
          <w:szCs w:val="32"/>
        </w:rPr>
        <w:t>35分；</w:t>
      </w:r>
      <w:r>
        <w:rPr>
          <w:rFonts w:hint="eastAsia" w:ascii="仿宋" w:hAnsi="仿宋" w:eastAsia="仿宋"/>
          <w:sz w:val="32"/>
          <w:szCs w:val="32"/>
        </w:rPr>
        <w:t>留校察看处分扣</w:t>
      </w:r>
      <w:r>
        <w:rPr>
          <w:rFonts w:ascii="仿宋" w:hAnsi="仿宋" w:eastAsia="仿宋"/>
          <w:sz w:val="32"/>
          <w:szCs w:val="32"/>
        </w:rPr>
        <w:t>55分；</w:t>
      </w:r>
      <w:r>
        <w:rPr>
          <w:rFonts w:hint="eastAsia" w:ascii="仿宋" w:hAnsi="仿宋" w:eastAsia="仿宋"/>
          <w:sz w:val="32"/>
          <w:szCs w:val="32"/>
        </w:rPr>
        <w:t>开除党籍、团籍处分，德育成绩按</w:t>
      </w:r>
      <w:r>
        <w:rPr>
          <w:rFonts w:ascii="仿宋" w:hAnsi="仿宋" w:eastAsia="仿宋"/>
          <w:sz w:val="32"/>
          <w:szCs w:val="32"/>
        </w:rPr>
        <w:t>0分计；</w:t>
      </w:r>
      <w:r>
        <w:rPr>
          <w:rFonts w:hint="eastAsia" w:ascii="仿宋" w:hAnsi="仿宋" w:eastAsia="仿宋"/>
          <w:sz w:val="32"/>
          <w:szCs w:val="32"/>
        </w:rPr>
        <w:t>受其他党团纪律处分，参照警告、严重警告、记过和留校察看处分</w:t>
      </w:r>
      <w:r>
        <w:rPr>
          <w:rFonts w:ascii="仿宋" w:hAnsi="仿宋" w:eastAsia="仿宋"/>
          <w:sz w:val="32"/>
          <w:szCs w:val="32"/>
        </w:rPr>
        <w:t>规定扣分；</w:t>
      </w:r>
      <w:r>
        <w:rPr>
          <w:rFonts w:hint="eastAsia" w:ascii="仿宋" w:hAnsi="仿宋" w:eastAsia="仿宋"/>
          <w:sz w:val="32"/>
          <w:szCs w:val="32"/>
        </w:rPr>
        <w:t>因受纪律处分而受党团纪律处分的，不重复扣分。</w:t>
      </w:r>
    </w:p>
    <w:p w14:paraId="78E87CF3"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四、智育测评</w:t>
      </w:r>
    </w:p>
    <w:p w14:paraId="66FC8AA5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智育成绩（</w:t>
      </w:r>
      <w:r>
        <w:rPr>
          <w:rFonts w:ascii="仿宋" w:hAnsi="仿宋" w:eastAsia="仿宋"/>
          <w:sz w:val="32"/>
          <w:szCs w:val="32"/>
        </w:rPr>
        <w:t>100分）＝课程学习成绩（85分）＋智育加分（15分）。</w:t>
      </w:r>
    </w:p>
    <w:p w14:paraId="26884F99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（一）智育基础分：课程学习成绩（85</w:t>
      </w:r>
      <w:r>
        <w:rPr>
          <w:rFonts w:ascii="仿宋" w:hAnsi="仿宋" w:eastAsia="仿宋"/>
          <w:sz w:val="32"/>
          <w:szCs w:val="32"/>
        </w:rPr>
        <w:t>分）</w:t>
      </w:r>
    </w:p>
    <w:p w14:paraId="001BF2CB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课程学习成绩＝</w:t>
      </w:r>
      <w:r>
        <w:rPr>
          <w:rFonts w:ascii="仿宋" w:hAnsi="仿宋" w:eastAsia="仿宋"/>
          <w:sz w:val="32"/>
          <w:szCs w:val="32"/>
        </w:rPr>
        <w:t>[</w:t>
      </w:r>
      <w:r>
        <w:rPr>
          <w:rFonts w:ascii="Cambria Math" w:hAnsi="Cambria Math" w:eastAsia="仿宋" w:cs="Cambria Math"/>
          <w:sz w:val="32"/>
          <w:szCs w:val="32"/>
        </w:rPr>
        <w:t>𝟎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ascii="Cambria Math" w:hAnsi="Cambria Math" w:eastAsia="仿宋" w:cs="Cambria Math"/>
          <w:sz w:val="32"/>
          <w:szCs w:val="32"/>
        </w:rPr>
        <w:t>𝟗</w:t>
      </w:r>
      <w:r>
        <w:rPr>
          <w:rFonts w:ascii="仿宋" w:hAnsi="仿宋" w:eastAsia="仿宋"/>
          <w:sz w:val="32"/>
          <w:szCs w:val="32"/>
        </w:rPr>
        <w:t>∑（</w:t>
      </w:r>
      <w:r>
        <w:rPr>
          <w:rFonts w:ascii="Cambria Math" w:hAnsi="Cambria Math" w:eastAsia="仿宋" w:cs="Cambria Math"/>
          <w:sz w:val="32"/>
          <w:szCs w:val="32"/>
        </w:rPr>
        <w:t>𝐈𝐢</w:t>
      </w:r>
      <w:r>
        <w:rPr>
          <w:rFonts w:ascii="仿宋" w:hAnsi="仿宋" w:eastAsia="仿宋"/>
          <w:sz w:val="32"/>
          <w:szCs w:val="32"/>
        </w:rPr>
        <w:t>×</w:t>
      </w:r>
      <w:r>
        <w:rPr>
          <w:rFonts w:ascii="Cambria Math" w:hAnsi="Cambria Math" w:eastAsia="仿宋" w:cs="Cambria Math"/>
          <w:sz w:val="32"/>
          <w:szCs w:val="32"/>
        </w:rPr>
        <w:t>𝐗𝐢</w:t>
      </w:r>
      <w:r>
        <w:rPr>
          <w:rFonts w:ascii="仿宋" w:hAnsi="仿宋" w:eastAsia="仿宋"/>
          <w:sz w:val="32"/>
          <w:szCs w:val="32"/>
        </w:rPr>
        <w:t>）/∑</w:t>
      </w:r>
      <w:r>
        <w:rPr>
          <w:rFonts w:ascii="Cambria Math" w:hAnsi="Cambria Math" w:eastAsia="仿宋" w:cs="Cambria Math"/>
          <w:sz w:val="32"/>
          <w:szCs w:val="32"/>
        </w:rPr>
        <w:t>𝐈𝐢</w:t>
      </w:r>
      <w:r>
        <w:rPr>
          <w:rFonts w:ascii="仿宋" w:hAnsi="仿宋" w:eastAsia="仿宋"/>
          <w:sz w:val="32"/>
          <w:szCs w:val="32"/>
        </w:rPr>
        <w:t>+</w:t>
      </w:r>
      <w:r>
        <w:rPr>
          <w:rFonts w:ascii="Cambria Math" w:hAnsi="Cambria Math" w:eastAsia="仿宋" w:cs="Cambria Math"/>
          <w:sz w:val="32"/>
          <w:szCs w:val="32"/>
        </w:rPr>
        <w:t>𝟎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ascii="Cambria Math" w:hAnsi="Cambria Math" w:eastAsia="仿宋" w:cs="Cambria Math"/>
          <w:sz w:val="32"/>
          <w:szCs w:val="32"/>
        </w:rPr>
        <w:t>𝟏</w:t>
      </w:r>
      <w:r>
        <w:rPr>
          <w:rFonts w:ascii="仿宋" w:hAnsi="仿宋" w:eastAsia="仿宋"/>
          <w:sz w:val="32"/>
          <w:szCs w:val="32"/>
        </w:rPr>
        <w:t>∑（</w:t>
      </w:r>
      <w:r>
        <w:rPr>
          <w:rFonts w:ascii="Cambria Math" w:hAnsi="Cambria Math" w:eastAsia="仿宋" w:cs="Cambria Math"/>
          <w:sz w:val="32"/>
          <w:szCs w:val="32"/>
        </w:rPr>
        <w:t>𝐒𝐢</w:t>
      </w:r>
      <w:r>
        <w:rPr>
          <w:rFonts w:ascii="仿宋" w:hAnsi="仿宋" w:eastAsia="仿宋"/>
          <w:sz w:val="32"/>
          <w:szCs w:val="32"/>
        </w:rPr>
        <w:t>×</w:t>
      </w:r>
      <w:r>
        <w:rPr>
          <w:rFonts w:ascii="Cambria Math" w:hAnsi="Cambria Math" w:eastAsia="仿宋" w:cs="Cambria Math"/>
          <w:sz w:val="32"/>
          <w:szCs w:val="32"/>
        </w:rPr>
        <w:t>𝐗𝐬</w:t>
      </w:r>
      <w:r>
        <w:rPr>
          <w:rFonts w:ascii="仿宋" w:hAnsi="仿宋" w:eastAsia="仿宋"/>
          <w:sz w:val="32"/>
          <w:szCs w:val="32"/>
        </w:rPr>
        <w:t>）/∑</w:t>
      </w:r>
      <w:r>
        <w:rPr>
          <w:rFonts w:ascii="Cambria Math" w:hAnsi="Cambria Math" w:eastAsia="仿宋" w:cs="Cambria Math"/>
          <w:sz w:val="32"/>
          <w:szCs w:val="32"/>
        </w:rPr>
        <w:t>𝐒𝐢</w:t>
      </w:r>
      <w:r>
        <w:rPr>
          <w:rFonts w:ascii="仿宋" w:hAnsi="仿宋" w:eastAsia="仿宋"/>
          <w:sz w:val="32"/>
          <w:szCs w:val="32"/>
        </w:rPr>
        <w:t>]×</w:t>
      </w:r>
      <w:r>
        <w:rPr>
          <w:rFonts w:ascii="Cambria Math" w:hAnsi="Cambria Math" w:eastAsia="仿宋" w:cs="Cambria Math"/>
          <w:sz w:val="32"/>
          <w:szCs w:val="32"/>
        </w:rPr>
        <w:t>𝟖𝟓</w:t>
      </w:r>
      <w:r>
        <w:rPr>
          <w:rFonts w:ascii="仿宋" w:hAnsi="仿宋" w:eastAsia="仿宋"/>
          <w:sz w:val="32"/>
          <w:szCs w:val="32"/>
        </w:rPr>
        <w:t>%</w:t>
      </w:r>
    </w:p>
    <w:p w14:paraId="23933CCD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其中：</w:t>
      </w:r>
      <w:r>
        <w:rPr>
          <w:rFonts w:ascii="仿宋" w:hAnsi="仿宋" w:eastAsia="仿宋"/>
          <w:sz w:val="32"/>
          <w:szCs w:val="32"/>
        </w:rPr>
        <w:t>Ii＝各必修课、专业限选课学分数、Si＝各选修课学分数（不含专业限选</w:t>
      </w:r>
      <w:r>
        <w:rPr>
          <w:rFonts w:hint="eastAsia" w:ascii="仿宋" w:hAnsi="仿宋" w:eastAsia="仿宋"/>
          <w:sz w:val="32"/>
          <w:szCs w:val="32"/>
        </w:rPr>
        <w:t>课），</w:t>
      </w:r>
      <w:r>
        <w:rPr>
          <w:rFonts w:ascii="仿宋" w:hAnsi="仿宋" w:eastAsia="仿宋"/>
          <w:sz w:val="32"/>
          <w:szCs w:val="32"/>
        </w:rPr>
        <w:t>Xi＝必修课、专业限选课所得成绩、Xs=选修课（不含专业限选课）所得成绩，</w:t>
      </w:r>
      <w:r>
        <w:rPr>
          <w:rFonts w:hint="eastAsia" w:ascii="仿宋" w:hAnsi="仿宋" w:eastAsia="仿宋"/>
          <w:sz w:val="32"/>
          <w:szCs w:val="32"/>
        </w:rPr>
        <w:t>（均按百分制计算，必修课包含</w:t>
      </w:r>
      <w:bookmarkStart w:id="2" w:name="OLE_LINK1"/>
      <w:r>
        <w:rPr>
          <w:rFonts w:hint="eastAsia" w:ascii="仿宋" w:hAnsi="仿宋" w:eastAsia="仿宋"/>
          <w:sz w:val="32"/>
          <w:szCs w:val="32"/>
        </w:rPr>
        <w:t>《大学体育Ⅰ》</w:t>
      </w:r>
      <w:bookmarkEnd w:id="2"/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hint="eastAsia" w:ascii="仿宋" w:hAnsi="仿宋" w:eastAsia="仿宋"/>
          <w:kern w:val="0"/>
          <w:sz w:val="32"/>
          <w:szCs w:val="32"/>
        </w:rPr>
        <w:t>《大学体育Ⅱ》、《大学体育Ⅲ》、《大学体育Ⅳ》</w:t>
      </w:r>
      <w:r>
        <w:rPr>
          <w:rFonts w:hint="eastAsia" w:ascii="仿宋" w:hAnsi="仿宋" w:eastAsia="仿宋"/>
          <w:sz w:val="32"/>
          <w:szCs w:val="32"/>
        </w:rPr>
        <w:t>；按五级制计算时：优</w:t>
      </w:r>
      <w:r>
        <w:rPr>
          <w:rFonts w:ascii="仿宋" w:hAnsi="仿宋" w:eastAsia="仿宋"/>
          <w:sz w:val="32"/>
          <w:szCs w:val="32"/>
        </w:rPr>
        <w:t>=95分；良=85分；中=75分；及格=65分；</w:t>
      </w:r>
      <w:r>
        <w:rPr>
          <w:rFonts w:hint="eastAsia" w:ascii="仿宋" w:hAnsi="仿宋" w:eastAsia="仿宋"/>
          <w:sz w:val="32"/>
          <w:szCs w:val="32"/>
        </w:rPr>
        <w:t>不及格</w:t>
      </w:r>
      <w:r>
        <w:rPr>
          <w:rFonts w:ascii="仿宋" w:hAnsi="仿宋" w:eastAsia="仿宋"/>
          <w:sz w:val="32"/>
          <w:szCs w:val="32"/>
        </w:rPr>
        <w:t>=40分；成绩记载为两级制时，不计入课程学习成绩）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4DB0A4D0"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sz w:val="32"/>
          <w:szCs w:val="32"/>
        </w:rPr>
        <w:t>如上一学年无选修课，</w:t>
      </w:r>
      <w:r>
        <w:rPr>
          <w:rFonts w:hint="eastAsia" w:ascii="仿宋" w:hAnsi="仿宋" w:eastAsia="仿宋"/>
          <w:sz w:val="32"/>
          <w:szCs w:val="32"/>
        </w:rPr>
        <w:t>课程学习成绩＝</w:t>
      </w:r>
      <w:r>
        <w:rPr>
          <w:rFonts w:ascii="仿宋" w:hAnsi="仿宋" w:eastAsia="仿宋"/>
          <w:sz w:val="32"/>
          <w:szCs w:val="32"/>
        </w:rPr>
        <w:t>[∑（</w:t>
      </w:r>
      <w:r>
        <w:rPr>
          <w:rFonts w:ascii="Cambria Math" w:hAnsi="Cambria Math" w:eastAsia="仿宋" w:cs="Cambria Math"/>
          <w:sz w:val="32"/>
          <w:szCs w:val="32"/>
        </w:rPr>
        <w:t>𝐈𝐢</w:t>
      </w:r>
      <w:r>
        <w:rPr>
          <w:rFonts w:ascii="仿宋" w:hAnsi="仿宋" w:eastAsia="仿宋"/>
          <w:sz w:val="32"/>
          <w:szCs w:val="32"/>
        </w:rPr>
        <w:t>×</w:t>
      </w:r>
      <w:r>
        <w:rPr>
          <w:rFonts w:ascii="Cambria Math" w:hAnsi="Cambria Math" w:eastAsia="仿宋" w:cs="Cambria Math"/>
          <w:sz w:val="32"/>
          <w:szCs w:val="32"/>
        </w:rPr>
        <w:t>𝐗𝐢</w:t>
      </w:r>
      <w:r>
        <w:rPr>
          <w:rFonts w:ascii="仿宋" w:hAnsi="仿宋" w:eastAsia="仿宋"/>
          <w:sz w:val="32"/>
          <w:szCs w:val="32"/>
        </w:rPr>
        <w:t>）/∑</w:t>
      </w:r>
      <w:r>
        <w:rPr>
          <w:rFonts w:ascii="Cambria Math" w:hAnsi="Cambria Math" w:eastAsia="仿宋" w:cs="Cambria Math"/>
          <w:sz w:val="32"/>
          <w:szCs w:val="32"/>
        </w:rPr>
        <w:t>𝐈𝐢</w:t>
      </w:r>
      <w:r>
        <w:rPr>
          <w:rFonts w:ascii="仿宋" w:hAnsi="仿宋" w:eastAsia="仿宋"/>
          <w:sz w:val="32"/>
          <w:szCs w:val="32"/>
        </w:rPr>
        <w:t>]×</w:t>
      </w:r>
      <w:r>
        <w:rPr>
          <w:rFonts w:ascii="Cambria Math" w:hAnsi="Cambria Math" w:eastAsia="仿宋" w:cs="Cambria Math"/>
          <w:sz w:val="32"/>
          <w:szCs w:val="32"/>
        </w:rPr>
        <w:t>𝟖𝟓</w:t>
      </w:r>
      <w:r>
        <w:rPr>
          <w:rFonts w:ascii="仿宋" w:hAnsi="仿宋" w:eastAsia="仿宋"/>
          <w:sz w:val="32"/>
          <w:szCs w:val="32"/>
        </w:rPr>
        <w:t>%。</w:t>
      </w:r>
      <w:r>
        <w:rPr>
          <w:rFonts w:hint="eastAsia" w:ascii="仿宋" w:hAnsi="仿宋" w:eastAsia="仿宋"/>
          <w:sz w:val="32"/>
          <w:szCs w:val="32"/>
        </w:rPr>
        <w:t>缓考课程如开学三周内不能提供成绩的，成绩纳入下学年度考核。</w:t>
      </w:r>
      <w:r>
        <w:rPr>
          <w:rFonts w:hint="eastAsia" w:ascii="仿宋" w:hAnsi="仿宋" w:eastAsia="仿宋"/>
          <w:b/>
          <w:bCs/>
          <w:color w:val="FF0000"/>
          <w:sz w:val="32"/>
          <w:szCs w:val="32"/>
        </w:rPr>
        <w:t>课程成绩计算时，补考、重修的课程按首修成绩计入，复修成绩不参与计算。</w:t>
      </w:r>
    </w:p>
    <w:p w14:paraId="111E9F5A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（二）智育加分（</w:t>
      </w:r>
      <w:r>
        <w:rPr>
          <w:rFonts w:ascii="仿宋" w:hAnsi="仿宋" w:eastAsia="仿宋"/>
          <w:sz w:val="32"/>
          <w:szCs w:val="32"/>
        </w:rPr>
        <w:t>15分）</w:t>
      </w:r>
    </w:p>
    <w:p w14:paraId="4E32932D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智育加分累加上限1</w:t>
      </w:r>
      <w:r>
        <w:rPr>
          <w:rFonts w:ascii="仿宋" w:hAnsi="仿宋" w:eastAsia="仿宋"/>
          <w:sz w:val="32"/>
          <w:szCs w:val="32"/>
        </w:rPr>
        <w:t>5</w:t>
      </w:r>
      <w:r>
        <w:rPr>
          <w:rFonts w:hint="eastAsia" w:ascii="仿宋" w:hAnsi="仿宋" w:eastAsia="仿宋"/>
          <w:sz w:val="32"/>
          <w:szCs w:val="32"/>
        </w:rPr>
        <w:t>分。</w:t>
      </w:r>
    </w:p>
    <w:p w14:paraId="6C9E38FE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1.凡参加学科竞赛取得各级奖励者按下表加分：</w:t>
      </w:r>
    </w:p>
    <w:tbl>
      <w:tblPr>
        <w:tblStyle w:val="4"/>
        <w:tblW w:w="819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1650"/>
        <w:gridCol w:w="1650"/>
        <w:gridCol w:w="1606"/>
        <w:gridCol w:w="2175"/>
      </w:tblGrid>
      <w:tr w14:paraId="53FC8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shd w:val="clear" w:color="auto" w:fill="auto"/>
            <w:vAlign w:val="center"/>
          </w:tcPr>
          <w:p w14:paraId="17560137"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级别分值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7960D0"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一等奖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83F07E"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二等奖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ADDEF4"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三等奖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4EED91"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鼓励奖/优秀奖</w:t>
            </w:r>
          </w:p>
        </w:tc>
      </w:tr>
      <w:tr w14:paraId="55F82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4BB01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国家级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A6EC0E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BAB4FF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BE614B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75F19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 w14:paraId="05A07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1CC21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省部级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B0D612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114056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DE0E3D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522AF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344E0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CF614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校级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991CBB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F00601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23268F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B1FC1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</w:tbl>
    <w:p w14:paraId="567D2B5E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.相关成果和奖项应为当年综合测评周期内获得。</w:t>
      </w:r>
    </w:p>
    <w:p w14:paraId="5DCDFFCA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.赛事级别以当年</w:t>
      </w:r>
      <w:r>
        <w:rPr>
          <w:rFonts w:hint="eastAsia" w:ascii="仿宋" w:hAnsi="仿宋" w:eastAsia="仿宋"/>
          <w:sz w:val="32"/>
          <w:szCs w:val="32"/>
        </w:rPr>
        <w:t>创新创业学院</w:t>
      </w:r>
      <w:r>
        <w:rPr>
          <w:rFonts w:ascii="仿宋" w:hAnsi="仿宋" w:eastAsia="仿宋"/>
          <w:sz w:val="32"/>
          <w:szCs w:val="32"/>
        </w:rPr>
        <w:t>认定发布的《</w:t>
      </w:r>
      <w:r>
        <w:rPr>
          <w:rFonts w:hint="eastAsia" w:ascii="仿宋" w:hAnsi="仿宋" w:eastAsia="仿宋"/>
          <w:sz w:val="32"/>
          <w:szCs w:val="32"/>
        </w:rPr>
        <w:t>中国石油大学（北京）克拉玛依校区创新创业竞赛认定目录</w:t>
      </w:r>
      <w:r>
        <w:rPr>
          <w:rFonts w:ascii="仿宋" w:hAnsi="仿宋" w:eastAsia="仿宋"/>
          <w:sz w:val="32"/>
          <w:szCs w:val="32"/>
        </w:rPr>
        <w:t>》</w:t>
      </w:r>
      <w:r>
        <w:rPr>
          <w:rFonts w:hint="eastAsia" w:ascii="仿宋" w:hAnsi="仿宋" w:eastAsia="仿宋"/>
          <w:sz w:val="32"/>
          <w:szCs w:val="32"/>
        </w:rPr>
        <w:t>规定为准。获奖以证书为准，同一项目仅取最高奖励级别加分。</w:t>
      </w:r>
    </w:p>
    <w:p w14:paraId="60FA4C9B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</w:t>
      </w:r>
      <w:r>
        <w:rPr>
          <w:rFonts w:ascii="仿宋" w:hAnsi="仿宋" w:eastAsia="仿宋"/>
          <w:sz w:val="32"/>
          <w:szCs w:val="32"/>
        </w:rPr>
        <w:t>.A级赛事加分系数为1.5；B级赛事加分系数为1.0；C级赛事加分系数为0.5；D级赛事加分系数为0.3。</w:t>
      </w:r>
    </w:p>
    <w:p w14:paraId="79AB5FB0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</w:t>
      </w:r>
      <w:r>
        <w:rPr>
          <w:rFonts w:ascii="仿宋" w:hAnsi="仿宋" w:eastAsia="仿宋"/>
          <w:sz w:val="32"/>
          <w:szCs w:val="32"/>
        </w:rPr>
        <w:t>.A级赛事中如设有特等奖，特等奖等同一等奖，一等奖等同二等奖，以此类推，</w:t>
      </w:r>
      <w:r>
        <w:rPr>
          <w:rFonts w:hint="eastAsia" w:ascii="仿宋" w:hAnsi="仿宋" w:eastAsia="仿宋"/>
          <w:sz w:val="32"/>
          <w:szCs w:val="32"/>
        </w:rPr>
        <w:t>三等奖（铜奖）按照省部级一等奖（金奖）加分，该赛事省部级一等奖（金奖）加分减半。</w:t>
      </w:r>
      <w:r>
        <w:rPr>
          <w:rFonts w:ascii="仿宋" w:hAnsi="仿宋" w:eastAsia="仿宋"/>
          <w:sz w:val="32"/>
          <w:szCs w:val="32"/>
        </w:rPr>
        <w:t>B级赛事中如设有特等奖且仅有唯一项目获得特等奖，则该赛事特等奖加</w:t>
      </w:r>
      <w:r>
        <w:rPr>
          <w:rFonts w:hint="eastAsia" w:ascii="仿宋" w:hAnsi="仿宋" w:eastAsia="仿宋"/>
          <w:sz w:val="32"/>
          <w:szCs w:val="32"/>
        </w:rPr>
        <w:t>分系数为</w:t>
      </w:r>
      <w:r>
        <w:rPr>
          <w:rFonts w:ascii="仿宋" w:hAnsi="仿宋" w:eastAsia="仿宋"/>
          <w:sz w:val="32"/>
          <w:szCs w:val="32"/>
        </w:rPr>
        <w:t>1.2，一等奖加分不变；其他特等奖等同一等奖，一等奖等同二等奖，以此</w:t>
      </w:r>
      <w:r>
        <w:rPr>
          <w:rFonts w:hint="eastAsia" w:ascii="仿宋" w:hAnsi="仿宋" w:eastAsia="仿宋"/>
          <w:sz w:val="32"/>
          <w:szCs w:val="32"/>
        </w:rPr>
        <w:t>类推。</w:t>
      </w:r>
    </w:p>
    <w:p w14:paraId="2183F086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</w:t>
      </w:r>
      <w:r>
        <w:rPr>
          <w:rFonts w:ascii="仿宋" w:hAnsi="仿宋" w:eastAsia="仿宋"/>
          <w:sz w:val="32"/>
          <w:szCs w:val="32"/>
        </w:rPr>
        <w:t>.竞赛项目个人参加者可获得对应级别加分，组队参加者分以下两种情况：（1）</w:t>
      </w:r>
      <w:r>
        <w:rPr>
          <w:rFonts w:hint="eastAsia" w:ascii="仿宋" w:hAnsi="仿宋" w:eastAsia="仿宋"/>
          <w:sz w:val="32"/>
          <w:szCs w:val="32"/>
        </w:rPr>
        <w:t>项目不设队长，所有成员按对应级别加分的</w:t>
      </w:r>
      <w:r>
        <w:rPr>
          <w:rFonts w:ascii="仿宋" w:hAnsi="仿宋" w:eastAsia="仿宋"/>
          <w:sz w:val="32"/>
          <w:szCs w:val="32"/>
        </w:rPr>
        <w:t>1/2加分；（2）项目设队长，队长按对</w:t>
      </w:r>
      <w:r>
        <w:rPr>
          <w:rFonts w:hint="eastAsia" w:ascii="仿宋" w:hAnsi="仿宋" w:eastAsia="仿宋"/>
          <w:sz w:val="32"/>
          <w:szCs w:val="32"/>
        </w:rPr>
        <w:t>应级别加分的</w:t>
      </w:r>
      <w:r>
        <w:rPr>
          <w:rFonts w:ascii="仿宋" w:hAnsi="仿宋" w:eastAsia="仿宋"/>
          <w:sz w:val="32"/>
          <w:szCs w:val="32"/>
        </w:rPr>
        <w:t>2/3加分，其他成员按对应级别加分的1/2加分。</w:t>
      </w:r>
    </w:p>
    <w:p w14:paraId="5DAF0A49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</w:t>
      </w:r>
      <w:r>
        <w:rPr>
          <w:rFonts w:ascii="仿宋" w:hAnsi="仿宋" w:eastAsia="仿宋"/>
          <w:sz w:val="32"/>
          <w:szCs w:val="32"/>
        </w:rPr>
        <w:t>.每人获多个奖项的，各项分值可累加，但校级赛事加分上限不超过10分。</w:t>
      </w:r>
    </w:p>
    <w:p w14:paraId="45B0B783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</w:t>
      </w:r>
      <w:r>
        <w:rPr>
          <w:rFonts w:ascii="仿宋" w:hAnsi="仿宋" w:eastAsia="仿宋"/>
          <w:sz w:val="32"/>
          <w:szCs w:val="32"/>
        </w:rPr>
        <w:t>.以第一负责人主持国家级大学生创新创业训练计划项目并结题，限1项，加5分。</w:t>
      </w:r>
    </w:p>
    <w:p w14:paraId="01E0E4BD"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sz w:val="32"/>
          <w:szCs w:val="32"/>
        </w:rPr>
        <w:t>9.美国大学生数学建模竞赛</w:t>
      </w:r>
      <w:r>
        <w:rPr>
          <w:rFonts w:hint="eastAsia" w:ascii="仿宋" w:hAnsi="仿宋" w:eastAsia="仿宋"/>
          <w:sz w:val="32"/>
          <w:szCs w:val="32"/>
        </w:rPr>
        <w:t>的</w:t>
      </w:r>
      <w:r>
        <w:rPr>
          <w:rFonts w:ascii="仿宋" w:hAnsi="仿宋" w:eastAsia="仿宋"/>
          <w:sz w:val="32"/>
          <w:szCs w:val="32"/>
        </w:rPr>
        <w:t>O、F为一等奖，M二等奖，H三等奖，S不加分。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全国大学生英语竞赛的特等奖、一等奖为省级，二等奖、三等奖为校级。</w:t>
      </w:r>
    </w:p>
    <w:p w14:paraId="28F410BB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10.本科期间发表论文或获得国家发明专利，第一单位为中国石</w:t>
      </w:r>
      <w:r>
        <w:rPr>
          <w:rFonts w:hint="eastAsia" w:ascii="仿宋" w:hAnsi="仿宋" w:eastAsia="仿宋"/>
          <w:sz w:val="32"/>
          <w:szCs w:val="32"/>
        </w:rPr>
        <w:t>油大学（北京）克拉玛依校区并有图书馆检索证明才可加分，若第一作者为指导教师，学生为第二作者，学生可按第一作者加分，具体标准如下：</w:t>
      </w:r>
    </w:p>
    <w:tbl>
      <w:tblPr>
        <w:tblStyle w:val="4"/>
        <w:tblW w:w="455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3"/>
        <w:gridCol w:w="885"/>
        <w:gridCol w:w="886"/>
        <w:gridCol w:w="886"/>
        <w:gridCol w:w="739"/>
        <w:gridCol w:w="739"/>
        <w:gridCol w:w="820"/>
      </w:tblGrid>
      <w:tr w14:paraId="4E6DE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94" w:hRule="atLeast"/>
          <w:jc w:val="center"/>
        </w:trPr>
        <w:tc>
          <w:tcPr>
            <w:tcW w:w="1807" w:type="pct"/>
            <w:shd w:val="clear" w:color="auto" w:fill="auto"/>
            <w:vAlign w:val="center"/>
          </w:tcPr>
          <w:p w14:paraId="36328B82"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成果类别</w:t>
            </w:r>
          </w:p>
        </w:tc>
        <w:tc>
          <w:tcPr>
            <w:tcW w:w="571" w:type="pct"/>
            <w:shd w:val="clear" w:color="auto" w:fill="auto"/>
            <w:noWrap/>
            <w:vAlign w:val="bottom"/>
          </w:tcPr>
          <w:p w14:paraId="54FF8A41"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第一作者</w:t>
            </w:r>
          </w:p>
        </w:tc>
        <w:tc>
          <w:tcPr>
            <w:tcW w:w="571" w:type="pct"/>
            <w:shd w:val="clear" w:color="auto" w:fill="auto"/>
            <w:noWrap/>
            <w:vAlign w:val="bottom"/>
          </w:tcPr>
          <w:p w14:paraId="6A67B853"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第二作者</w:t>
            </w:r>
          </w:p>
        </w:tc>
        <w:tc>
          <w:tcPr>
            <w:tcW w:w="571" w:type="pct"/>
            <w:shd w:val="clear" w:color="auto" w:fill="auto"/>
            <w:noWrap/>
            <w:vAlign w:val="bottom"/>
          </w:tcPr>
          <w:p w14:paraId="28174AC1"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第三作者</w:t>
            </w:r>
          </w:p>
        </w:tc>
        <w:tc>
          <w:tcPr>
            <w:tcW w:w="476" w:type="pct"/>
            <w:shd w:val="clear" w:color="auto" w:fill="auto"/>
            <w:noWrap/>
            <w:vAlign w:val="bottom"/>
          </w:tcPr>
          <w:p w14:paraId="209B9898"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第四作者</w:t>
            </w:r>
          </w:p>
        </w:tc>
        <w:tc>
          <w:tcPr>
            <w:tcW w:w="476" w:type="pct"/>
            <w:shd w:val="clear" w:color="auto" w:fill="auto"/>
            <w:noWrap/>
            <w:vAlign w:val="bottom"/>
          </w:tcPr>
          <w:p w14:paraId="0C39C7D4"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第五作者</w:t>
            </w:r>
          </w:p>
        </w:tc>
        <w:tc>
          <w:tcPr>
            <w:tcW w:w="528" w:type="pct"/>
            <w:shd w:val="clear" w:color="auto" w:fill="auto"/>
            <w:noWrap/>
            <w:vAlign w:val="bottom"/>
          </w:tcPr>
          <w:p w14:paraId="1FB3C3DE"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第六作者</w:t>
            </w:r>
          </w:p>
        </w:tc>
      </w:tr>
      <w:tr w14:paraId="2DD1A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807" w:type="pct"/>
            <w:shd w:val="clear" w:color="auto" w:fill="auto"/>
            <w:vAlign w:val="center"/>
          </w:tcPr>
          <w:p w14:paraId="69AF2241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中科院JCR 1区文章</w:t>
            </w:r>
          </w:p>
        </w:tc>
        <w:tc>
          <w:tcPr>
            <w:tcW w:w="571" w:type="pct"/>
            <w:shd w:val="clear" w:color="auto" w:fill="auto"/>
            <w:noWrap/>
            <w:vAlign w:val="bottom"/>
          </w:tcPr>
          <w:p w14:paraId="75A2CF68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571" w:type="pct"/>
            <w:shd w:val="clear" w:color="auto" w:fill="auto"/>
            <w:noWrap/>
            <w:vAlign w:val="bottom"/>
          </w:tcPr>
          <w:p w14:paraId="01FBC730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571" w:type="pct"/>
            <w:shd w:val="clear" w:color="auto" w:fill="auto"/>
            <w:noWrap/>
            <w:vAlign w:val="bottom"/>
          </w:tcPr>
          <w:p w14:paraId="33154066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76" w:type="pct"/>
            <w:shd w:val="clear" w:color="auto" w:fill="auto"/>
            <w:noWrap/>
            <w:vAlign w:val="bottom"/>
          </w:tcPr>
          <w:p w14:paraId="5154593B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76" w:type="pct"/>
            <w:shd w:val="clear" w:color="auto" w:fill="auto"/>
            <w:noWrap/>
            <w:vAlign w:val="bottom"/>
          </w:tcPr>
          <w:p w14:paraId="2BF0048D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28" w:type="pct"/>
            <w:shd w:val="clear" w:color="auto" w:fill="auto"/>
            <w:noWrap/>
            <w:vAlign w:val="bottom"/>
          </w:tcPr>
          <w:p w14:paraId="31EB6014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</w:tr>
      <w:tr w14:paraId="61072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807" w:type="pct"/>
            <w:shd w:val="clear" w:color="auto" w:fill="auto"/>
            <w:vAlign w:val="center"/>
          </w:tcPr>
          <w:p w14:paraId="5E9AD64D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中科院JCR 2区文章</w:t>
            </w:r>
          </w:p>
        </w:tc>
        <w:tc>
          <w:tcPr>
            <w:tcW w:w="571" w:type="pct"/>
            <w:shd w:val="clear" w:color="auto" w:fill="auto"/>
            <w:noWrap/>
            <w:vAlign w:val="bottom"/>
          </w:tcPr>
          <w:p w14:paraId="579128F6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571" w:type="pct"/>
            <w:shd w:val="clear" w:color="auto" w:fill="auto"/>
            <w:noWrap/>
            <w:vAlign w:val="bottom"/>
          </w:tcPr>
          <w:p w14:paraId="76DD419A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71" w:type="pct"/>
            <w:shd w:val="clear" w:color="auto" w:fill="auto"/>
            <w:noWrap/>
            <w:vAlign w:val="bottom"/>
          </w:tcPr>
          <w:p w14:paraId="212AA1CA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76" w:type="pct"/>
            <w:shd w:val="clear" w:color="auto" w:fill="auto"/>
            <w:noWrap/>
            <w:vAlign w:val="bottom"/>
          </w:tcPr>
          <w:p w14:paraId="7B8D8B23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476" w:type="pct"/>
            <w:shd w:val="clear" w:color="auto" w:fill="auto"/>
            <w:noWrap/>
            <w:vAlign w:val="bottom"/>
          </w:tcPr>
          <w:p w14:paraId="001FA5DF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28" w:type="pct"/>
            <w:shd w:val="clear" w:color="auto" w:fill="auto"/>
            <w:noWrap/>
            <w:vAlign w:val="bottom"/>
          </w:tcPr>
          <w:p w14:paraId="592AFBB5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2DC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807" w:type="pct"/>
            <w:shd w:val="clear" w:color="auto" w:fill="auto"/>
            <w:vAlign w:val="center"/>
          </w:tcPr>
          <w:p w14:paraId="69B8DA44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中科院JCR 3区文章</w:t>
            </w:r>
          </w:p>
        </w:tc>
        <w:tc>
          <w:tcPr>
            <w:tcW w:w="571" w:type="pct"/>
            <w:shd w:val="clear" w:color="auto" w:fill="auto"/>
            <w:noWrap/>
            <w:vAlign w:val="bottom"/>
          </w:tcPr>
          <w:p w14:paraId="04C89058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71" w:type="pct"/>
            <w:shd w:val="clear" w:color="auto" w:fill="auto"/>
            <w:noWrap/>
            <w:vAlign w:val="bottom"/>
          </w:tcPr>
          <w:p w14:paraId="1D563F6F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71" w:type="pct"/>
            <w:shd w:val="clear" w:color="auto" w:fill="auto"/>
            <w:noWrap/>
            <w:vAlign w:val="bottom"/>
          </w:tcPr>
          <w:p w14:paraId="10CC5966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76" w:type="pct"/>
            <w:shd w:val="clear" w:color="auto" w:fill="auto"/>
            <w:noWrap/>
            <w:vAlign w:val="bottom"/>
          </w:tcPr>
          <w:p w14:paraId="0A8E49E4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1004" w:type="pct"/>
            <w:gridSpan w:val="2"/>
            <w:shd w:val="clear" w:color="auto" w:fill="auto"/>
            <w:noWrap/>
            <w:vAlign w:val="bottom"/>
          </w:tcPr>
          <w:p w14:paraId="0FB56D46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5E0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807" w:type="pct"/>
            <w:shd w:val="clear" w:color="auto" w:fill="auto"/>
            <w:vAlign w:val="center"/>
          </w:tcPr>
          <w:p w14:paraId="7D571E92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中科院JCR 4区文章</w:t>
            </w:r>
          </w:p>
        </w:tc>
        <w:tc>
          <w:tcPr>
            <w:tcW w:w="571" w:type="pct"/>
            <w:shd w:val="clear" w:color="auto" w:fill="auto"/>
            <w:noWrap/>
            <w:vAlign w:val="bottom"/>
          </w:tcPr>
          <w:p w14:paraId="40AEA787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71" w:type="pct"/>
            <w:shd w:val="clear" w:color="auto" w:fill="auto"/>
            <w:noWrap/>
            <w:vAlign w:val="bottom"/>
          </w:tcPr>
          <w:p w14:paraId="075DCEA6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71" w:type="pct"/>
            <w:shd w:val="clear" w:color="auto" w:fill="auto"/>
            <w:noWrap/>
            <w:vAlign w:val="bottom"/>
          </w:tcPr>
          <w:p w14:paraId="34CD594C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1480" w:type="pct"/>
            <w:gridSpan w:val="3"/>
            <w:shd w:val="clear" w:color="auto" w:fill="auto"/>
            <w:noWrap/>
            <w:vAlign w:val="bottom"/>
          </w:tcPr>
          <w:p w14:paraId="13179FE7">
            <w:pPr>
              <w:widowControl/>
              <w:jc w:val="left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AD4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807" w:type="pct"/>
            <w:shd w:val="clear" w:color="auto" w:fill="auto"/>
            <w:vAlign w:val="center"/>
          </w:tcPr>
          <w:p w14:paraId="0F445AC0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EI文章</w:t>
            </w:r>
          </w:p>
        </w:tc>
        <w:tc>
          <w:tcPr>
            <w:tcW w:w="571" w:type="pct"/>
            <w:shd w:val="clear" w:color="auto" w:fill="auto"/>
            <w:noWrap/>
            <w:vAlign w:val="bottom"/>
          </w:tcPr>
          <w:p w14:paraId="3B66F42A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71" w:type="pct"/>
            <w:shd w:val="clear" w:color="auto" w:fill="auto"/>
            <w:noWrap/>
            <w:vAlign w:val="bottom"/>
          </w:tcPr>
          <w:p w14:paraId="77B1BDEE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52" w:type="pct"/>
            <w:gridSpan w:val="4"/>
            <w:shd w:val="clear" w:color="auto" w:fill="auto"/>
            <w:noWrap/>
            <w:vAlign w:val="bottom"/>
          </w:tcPr>
          <w:p w14:paraId="7AAE7AE3">
            <w:pPr>
              <w:widowControl/>
              <w:jc w:val="left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495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807" w:type="pct"/>
            <w:shd w:val="clear" w:color="auto" w:fill="auto"/>
            <w:vAlign w:val="center"/>
          </w:tcPr>
          <w:p w14:paraId="1C6A4C52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中文核心期刊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14:paraId="2AE80239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14:paraId="21AA1854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2052" w:type="pct"/>
            <w:gridSpan w:val="4"/>
            <w:shd w:val="clear" w:color="auto" w:fill="auto"/>
            <w:noWrap/>
            <w:vAlign w:val="bottom"/>
          </w:tcPr>
          <w:p w14:paraId="1FDBBF5F">
            <w:pPr>
              <w:widowControl/>
              <w:jc w:val="left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DA0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807" w:type="pct"/>
            <w:shd w:val="clear" w:color="auto" w:fill="auto"/>
            <w:vAlign w:val="center"/>
          </w:tcPr>
          <w:p w14:paraId="082B6C73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国家发明专利</w:t>
            </w:r>
          </w:p>
        </w:tc>
        <w:tc>
          <w:tcPr>
            <w:tcW w:w="571" w:type="pct"/>
            <w:shd w:val="clear" w:color="auto" w:fill="auto"/>
            <w:noWrap/>
            <w:vAlign w:val="bottom"/>
          </w:tcPr>
          <w:p w14:paraId="71026847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71" w:type="pct"/>
            <w:shd w:val="clear" w:color="auto" w:fill="auto"/>
            <w:noWrap/>
            <w:vAlign w:val="bottom"/>
          </w:tcPr>
          <w:p w14:paraId="04675BE4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52" w:type="pct"/>
            <w:gridSpan w:val="4"/>
            <w:shd w:val="clear" w:color="auto" w:fill="auto"/>
            <w:noWrap/>
            <w:vAlign w:val="bottom"/>
          </w:tcPr>
          <w:p w14:paraId="2B82328D">
            <w:pPr>
              <w:widowControl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940F2C2">
      <w:pPr>
        <w:widowControl/>
        <w:shd w:val="clear" w:color="auto" w:fill="FFFFFF"/>
        <w:spacing w:line="480" w:lineRule="auto"/>
        <w:ind w:firstLine="480"/>
        <w:jc w:val="left"/>
        <w:rPr>
          <w:rFonts w:ascii="仿宋_GB2312" w:hAnsi="Times New Roman" w:eastAsia="仿宋_GB2312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注：空白处均不加分。</w:t>
      </w:r>
    </w:p>
    <w:p w14:paraId="5D09E3FF"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11.同一比赛同时获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得两个等级的奖励，取最高奖励，不累加。同一比赛同一项目原则上只可计入一次智育加分，若申报过一次加分后，次年同一项目获更高级别荣誉，则不予计入。（例如，在当年获得中国国际大学生创新大赛省级奖项并已申请智育加分，第二年该项目获得国家级奖项，则不予计入第二年的的智育加分）。</w:t>
      </w:r>
    </w:p>
    <w:p w14:paraId="0EC113D5"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五、体育测评</w:t>
      </w:r>
    </w:p>
    <w:p w14:paraId="20229225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体育成绩（</w:t>
      </w:r>
      <w:r>
        <w:rPr>
          <w:rFonts w:ascii="仿宋" w:hAnsi="仿宋" w:eastAsia="仿宋"/>
          <w:sz w:val="32"/>
          <w:szCs w:val="32"/>
        </w:rPr>
        <w:t>100分）＝</w:t>
      </w:r>
      <w:bookmarkStart w:id="3" w:name="OLE_LINK3"/>
      <w:r>
        <w:rPr>
          <w:rFonts w:ascii="仿宋" w:hAnsi="仿宋" w:eastAsia="仿宋"/>
          <w:sz w:val="32"/>
          <w:szCs w:val="32"/>
        </w:rPr>
        <w:t>体育锻炼成绩</w:t>
      </w:r>
      <w:bookmarkEnd w:id="3"/>
      <w:r>
        <w:rPr>
          <w:rFonts w:ascii="仿宋" w:hAnsi="仿宋" w:eastAsia="仿宋"/>
          <w:sz w:val="32"/>
          <w:szCs w:val="32"/>
        </w:rPr>
        <w:t>（70分）＋体育加分（30分）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3119C43D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（一）体育基础分：体育锻炼成绩（</w:t>
      </w:r>
      <w:r>
        <w:rPr>
          <w:rFonts w:ascii="仿宋" w:hAnsi="仿宋" w:eastAsia="仿宋"/>
          <w:sz w:val="32"/>
          <w:szCs w:val="32"/>
        </w:rPr>
        <w:t>70分）</w:t>
      </w:r>
    </w:p>
    <w:p w14:paraId="536353C9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体育锻炼成绩</w:t>
      </w:r>
      <w:r>
        <w:rPr>
          <w:rFonts w:ascii="仿宋" w:hAnsi="仿宋" w:eastAsia="仿宋"/>
          <w:sz w:val="32"/>
          <w:szCs w:val="32"/>
        </w:rPr>
        <w:t>=[体测成绩（100分）×80%+体育课外锻炼成绩（100分）×20%]×70%</w:t>
      </w:r>
    </w:p>
    <w:p w14:paraId="126C4529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其中，体测成绩以文理学院</w:t>
      </w:r>
      <w:r>
        <w:rPr>
          <w:rFonts w:ascii="仿宋" w:hAnsi="仿宋" w:eastAsia="仿宋"/>
          <w:sz w:val="32"/>
          <w:szCs w:val="32"/>
        </w:rPr>
        <w:t>/文化艺术学院提供的《学生体质健康标准》测试成绩计分</w:t>
      </w:r>
      <w:r>
        <w:rPr>
          <w:rFonts w:hint="eastAsia" w:ascii="仿宋" w:hAnsi="仿宋" w:eastAsia="仿宋"/>
          <w:sz w:val="32"/>
          <w:szCs w:val="32"/>
        </w:rPr>
        <w:t>为准。体育课外锻炼成绩以文理学院</w:t>
      </w:r>
      <w:r>
        <w:rPr>
          <w:rFonts w:ascii="仿宋" w:hAnsi="仿宋" w:eastAsia="仿宋"/>
          <w:sz w:val="32"/>
          <w:szCs w:val="32"/>
        </w:rPr>
        <w:t>/文化艺术学院提供的学生参加“阳光长跑”认定</w:t>
      </w:r>
      <w:r>
        <w:rPr>
          <w:rFonts w:hint="eastAsia" w:ascii="仿宋" w:hAnsi="仿宋" w:eastAsia="仿宋"/>
          <w:sz w:val="32"/>
          <w:szCs w:val="32"/>
        </w:rPr>
        <w:t>结果为准。学生因病或者残疾经校医院证明并由文理学院</w:t>
      </w:r>
      <w:r>
        <w:rPr>
          <w:rFonts w:ascii="仿宋" w:hAnsi="仿宋" w:eastAsia="仿宋"/>
          <w:sz w:val="32"/>
          <w:szCs w:val="32"/>
        </w:rPr>
        <w:t>/文化艺术学院核准后，体</w:t>
      </w:r>
      <w:r>
        <w:rPr>
          <w:rFonts w:hint="eastAsia" w:ascii="仿宋" w:hAnsi="仿宋" w:eastAsia="仿宋"/>
          <w:sz w:val="32"/>
          <w:szCs w:val="32"/>
        </w:rPr>
        <w:t>测成绩按及格等级赋分。</w:t>
      </w:r>
    </w:p>
    <w:p w14:paraId="69642725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（二）体育加分（</w:t>
      </w:r>
      <w:r>
        <w:rPr>
          <w:rFonts w:ascii="仿宋" w:hAnsi="仿宋" w:eastAsia="仿宋"/>
          <w:sz w:val="32"/>
          <w:szCs w:val="32"/>
        </w:rPr>
        <w:t>30分）</w:t>
      </w:r>
    </w:p>
    <w:p w14:paraId="1B012147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各级各类体育赛事单人或集体项目按下表加分，</w:t>
      </w:r>
      <w:bookmarkStart w:id="4" w:name="OLE_LINK10"/>
      <w:r>
        <w:rPr>
          <w:rFonts w:hint="eastAsia" w:ascii="仿宋" w:hAnsi="仿宋" w:eastAsia="仿宋"/>
          <w:sz w:val="32"/>
          <w:szCs w:val="32"/>
        </w:rPr>
        <w:t>参加趣味项目及非主力队员按</w:t>
      </w:r>
      <w:bookmarkStart w:id="5" w:name="OLE_LINK7"/>
      <w:r>
        <w:rPr>
          <w:rFonts w:ascii="仿宋" w:hAnsi="仿宋" w:eastAsia="仿宋"/>
          <w:sz w:val="32"/>
          <w:szCs w:val="32"/>
        </w:rPr>
        <w:t>2/3折算</w:t>
      </w:r>
      <w:bookmarkEnd w:id="5"/>
      <w:r>
        <w:rPr>
          <w:rFonts w:ascii="仿宋" w:hAnsi="仿宋" w:eastAsia="仿宋"/>
          <w:sz w:val="32"/>
          <w:szCs w:val="32"/>
        </w:rPr>
        <w:t>。每人</w:t>
      </w:r>
      <w:r>
        <w:rPr>
          <w:rFonts w:hint="eastAsia" w:ascii="仿宋" w:hAnsi="仿宋" w:eastAsia="仿宋"/>
          <w:sz w:val="32"/>
          <w:szCs w:val="32"/>
        </w:rPr>
        <w:t>获多个奖项的可累加，但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院、</w:t>
      </w:r>
      <w:r>
        <w:rPr>
          <w:rFonts w:hint="eastAsia" w:ascii="仿宋" w:hAnsi="仿宋" w:eastAsia="仿宋"/>
          <w:sz w:val="32"/>
          <w:szCs w:val="32"/>
        </w:rPr>
        <w:t>校级赛事加分上限不超过</w:t>
      </w:r>
      <w:r>
        <w:rPr>
          <w:rFonts w:ascii="仿宋" w:hAnsi="仿宋" w:eastAsia="仿宋"/>
          <w:sz w:val="32"/>
          <w:szCs w:val="32"/>
        </w:rPr>
        <w:t>20分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市</w:t>
      </w:r>
      <w:r>
        <w:rPr>
          <w:rFonts w:hint="eastAsia" w:ascii="仿宋" w:hAnsi="仿宋" w:eastAsia="仿宋"/>
          <w:sz w:val="32"/>
          <w:szCs w:val="32"/>
        </w:rPr>
        <w:t>级赛事在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省部</w:t>
      </w:r>
      <w:r>
        <w:rPr>
          <w:rFonts w:hint="eastAsia" w:ascii="仿宋" w:hAnsi="仿宋" w:eastAsia="仿宋"/>
          <w:sz w:val="32"/>
          <w:szCs w:val="32"/>
        </w:rPr>
        <w:t>级分值上按1</w:t>
      </w:r>
      <w:r>
        <w:rPr>
          <w:rFonts w:ascii="仿宋" w:hAnsi="仿宋" w:eastAsia="仿宋"/>
          <w:sz w:val="32"/>
          <w:szCs w:val="32"/>
        </w:rPr>
        <w:t>/</w:t>
      </w: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折算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院级赛事在校级分值上按1</w:t>
      </w:r>
      <w:r>
        <w:rPr>
          <w:rFonts w:ascii="仿宋" w:hAnsi="仿宋" w:eastAsia="仿宋"/>
          <w:sz w:val="32"/>
          <w:szCs w:val="32"/>
        </w:rPr>
        <w:t>/</w:t>
      </w: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折算</w:t>
      </w:r>
      <w:bookmarkEnd w:id="4"/>
      <w:r>
        <w:rPr>
          <w:rFonts w:ascii="仿宋" w:hAnsi="仿宋" w:eastAsia="仿宋"/>
          <w:sz w:val="32"/>
          <w:szCs w:val="32"/>
        </w:rPr>
        <w:t>。</w:t>
      </w:r>
    </w:p>
    <w:tbl>
      <w:tblPr>
        <w:tblStyle w:val="4"/>
        <w:tblW w:w="868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1593"/>
        <w:gridCol w:w="1593"/>
        <w:gridCol w:w="1549"/>
        <w:gridCol w:w="2100"/>
        <w:gridCol w:w="782"/>
      </w:tblGrid>
      <w:tr w14:paraId="0024D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shd w:val="clear" w:color="auto" w:fill="auto"/>
            <w:vAlign w:val="center"/>
          </w:tcPr>
          <w:p w14:paraId="2A3C8D57"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级别</w:t>
            </w: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070A89"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一、二名/一等奖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2C11FE"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三、四名/二等奖</w:t>
            </w: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BB3097"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五、六名/三等奖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43D93C"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七、八名/鼓励奖/优秀奖</w:t>
            </w: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F1BE78"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参与</w:t>
            </w:r>
          </w:p>
        </w:tc>
      </w:tr>
      <w:tr w14:paraId="5AA85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CE1D6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国家级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10830B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801CFB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E496E2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D43CE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EF84C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 w14:paraId="2D3A8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C86D3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省部级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CF2B8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983AD0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14F95C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EEFF3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81997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263A3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57FD2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校级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575E2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E8035E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D603B1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86F45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19F54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</w:tbl>
    <w:p w14:paraId="41171992">
      <w:pPr>
        <w:widowControl/>
        <w:shd w:val="clear" w:color="auto" w:fill="FFFFFF"/>
        <w:spacing w:line="480" w:lineRule="auto"/>
        <w:ind w:firstLine="480"/>
        <w:jc w:val="left"/>
        <w:rPr>
          <w:rFonts w:ascii="仿宋_GB2312" w:hAnsi="Times New Roman" w:eastAsia="仿宋_GB2312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注：体育加分比赛中，最多有一项球类运动。</w:t>
      </w:r>
    </w:p>
    <w:p w14:paraId="7A3AECAA"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六、美育测评</w:t>
      </w:r>
    </w:p>
    <w:p w14:paraId="41963D01">
      <w:pPr>
        <w:ind w:firstLine="640" w:firstLineChars="200"/>
        <w:rPr>
          <w:rFonts w:ascii="仿宋" w:hAnsi="仿宋" w:eastAsia="仿宋"/>
          <w:sz w:val="32"/>
          <w:szCs w:val="32"/>
        </w:rPr>
      </w:pPr>
      <w:bookmarkStart w:id="6" w:name="OLE_LINK5"/>
      <w:r>
        <w:rPr>
          <w:rFonts w:hint="eastAsia" w:ascii="仿宋" w:hAnsi="仿宋" w:eastAsia="仿宋"/>
          <w:sz w:val="32"/>
          <w:szCs w:val="32"/>
        </w:rPr>
        <w:t>美育</w:t>
      </w:r>
      <w:bookmarkEnd w:id="6"/>
      <w:r>
        <w:rPr>
          <w:rFonts w:hint="eastAsia" w:ascii="仿宋" w:hAnsi="仿宋" w:eastAsia="仿宋"/>
          <w:sz w:val="32"/>
          <w:szCs w:val="32"/>
        </w:rPr>
        <w:t>成绩（</w:t>
      </w:r>
      <w:r>
        <w:rPr>
          <w:rFonts w:ascii="仿宋" w:hAnsi="仿宋" w:eastAsia="仿宋"/>
          <w:sz w:val="32"/>
          <w:szCs w:val="32"/>
        </w:rPr>
        <w:t>100分）=文化艺术活动（70分）+美育加分（30分）。</w:t>
      </w:r>
    </w:p>
    <w:p w14:paraId="4BF95FBB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（一）美育基础分：文化艺术活动（</w:t>
      </w:r>
      <w:r>
        <w:rPr>
          <w:rFonts w:ascii="仿宋" w:hAnsi="仿宋" w:eastAsia="仿宋"/>
          <w:sz w:val="32"/>
          <w:szCs w:val="32"/>
        </w:rPr>
        <w:t>70分）</w:t>
      </w:r>
    </w:p>
    <w:p w14:paraId="27532A69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1.参加各级文艺演出，国家级、省部级、地市级、校级、院级每场分别计</w:t>
      </w:r>
      <w:r>
        <w:rPr>
          <w:rFonts w:ascii="仿宋" w:hAnsi="仿宋" w:eastAsia="仿宋"/>
          <w:sz w:val="32"/>
          <w:szCs w:val="32"/>
        </w:rPr>
        <w:t>50分、30分、20分、10分、5分。</w:t>
      </w:r>
    </w:p>
    <w:p w14:paraId="3C8ECC12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.参加文化艺术类主题讲座及报告、人文艺术类文化活动，</w:t>
      </w:r>
      <w:r>
        <w:rPr>
          <w:rFonts w:hint="eastAsia" w:ascii="仿宋" w:hAnsi="仿宋" w:eastAsia="仿宋"/>
          <w:sz w:val="32"/>
          <w:szCs w:val="32"/>
        </w:rPr>
        <w:t>限</w:t>
      </w:r>
      <w:r>
        <w:rPr>
          <w:rFonts w:ascii="仿宋" w:hAnsi="仿宋" w:eastAsia="仿宋"/>
          <w:sz w:val="32"/>
          <w:szCs w:val="32"/>
        </w:rPr>
        <w:t>5次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ascii="仿宋" w:hAnsi="仿宋" w:eastAsia="仿宋"/>
          <w:sz w:val="32"/>
          <w:szCs w:val="32"/>
        </w:rPr>
        <w:t>每次计5分。</w:t>
      </w:r>
    </w:p>
    <w:p w14:paraId="4D37A4C8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.参观艺术馆、美术馆、博物馆等，</w:t>
      </w:r>
      <w:r>
        <w:rPr>
          <w:rFonts w:hint="eastAsia" w:ascii="仿宋" w:hAnsi="仿宋" w:eastAsia="仿宋"/>
          <w:sz w:val="32"/>
          <w:szCs w:val="32"/>
        </w:rPr>
        <w:t>限</w:t>
      </w:r>
      <w:r>
        <w:rPr>
          <w:rFonts w:ascii="仿宋" w:hAnsi="仿宋" w:eastAsia="仿宋"/>
          <w:sz w:val="32"/>
          <w:szCs w:val="32"/>
        </w:rPr>
        <w:t>5次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ascii="仿宋" w:hAnsi="仿宋" w:eastAsia="仿宋"/>
          <w:sz w:val="32"/>
          <w:szCs w:val="32"/>
        </w:rPr>
        <w:t>每次计3分。</w:t>
      </w:r>
    </w:p>
    <w:p w14:paraId="1262D764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</w:t>
      </w:r>
      <w:r>
        <w:rPr>
          <w:rFonts w:ascii="仿宋" w:hAnsi="仿宋" w:eastAsia="仿宋"/>
          <w:sz w:val="32"/>
          <w:szCs w:val="32"/>
        </w:rPr>
        <w:t>.文化艺术活动以第二课堂管理平台记录为准，未纳入第二课堂管理平台的，</w:t>
      </w:r>
      <w:r>
        <w:rPr>
          <w:rFonts w:hint="eastAsia" w:ascii="仿宋" w:hAnsi="仿宋" w:eastAsia="仿宋"/>
          <w:sz w:val="32"/>
          <w:szCs w:val="32"/>
        </w:rPr>
        <w:t>需由学院认定后予以计分。</w:t>
      </w:r>
    </w:p>
    <w:p w14:paraId="414C96C0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（二）美育加分（</w:t>
      </w:r>
      <w:r>
        <w:rPr>
          <w:rFonts w:ascii="仿宋" w:hAnsi="仿宋" w:eastAsia="仿宋"/>
          <w:sz w:val="32"/>
          <w:szCs w:val="32"/>
        </w:rPr>
        <w:t>30分）</w:t>
      </w:r>
    </w:p>
    <w:p w14:paraId="7ACE839D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.文化艺术比赛</w:t>
      </w:r>
      <w:r>
        <w:rPr>
          <w:rFonts w:hint="eastAsia" w:ascii="仿宋" w:hAnsi="仿宋" w:eastAsia="仿宋"/>
          <w:sz w:val="32"/>
          <w:szCs w:val="32"/>
        </w:rPr>
        <w:t>：主要包括校内外组织的歌曲、舞蹈、书法、音乐及绘画等比赛活动。各级各类文化艺术赛事单人或集体项目按下表加分。</w:t>
      </w:r>
    </w:p>
    <w:tbl>
      <w:tblPr>
        <w:tblStyle w:val="4"/>
        <w:tblW w:w="843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3"/>
        <w:gridCol w:w="1700"/>
        <w:gridCol w:w="1700"/>
        <w:gridCol w:w="1653"/>
        <w:gridCol w:w="2241"/>
      </w:tblGrid>
      <w:tr w14:paraId="7967D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shd w:val="clear" w:color="auto" w:fill="auto"/>
            <w:vAlign w:val="center"/>
          </w:tcPr>
          <w:p w14:paraId="572484A1"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级别</w:t>
            </w: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010927"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一等奖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C8EFE3"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二等奖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A7C5B0"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三等奖</w:t>
            </w:r>
          </w:p>
        </w:tc>
        <w:tc>
          <w:tcPr>
            <w:tcW w:w="2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57ABD4"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鼓励奖/优秀奖</w:t>
            </w:r>
          </w:p>
        </w:tc>
      </w:tr>
      <w:tr w14:paraId="34F47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7D95A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国家级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3A25B0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C4C288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679CF8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2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DAD77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</w:tr>
      <w:tr w14:paraId="09678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6F46F"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省部级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C0902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6284E4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90FFA2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BDDC5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 w14:paraId="044EAB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4B1AB"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校级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0C682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DC5DD1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07E6AE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96D30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1B7C5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0F3D4F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院级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AFD558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985C0C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0125A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9CBFF0"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</w:tbl>
    <w:p w14:paraId="45EF2BA3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.文化艺术作品</w:t>
      </w:r>
      <w:r>
        <w:rPr>
          <w:rFonts w:hint="eastAsia" w:ascii="仿宋" w:hAnsi="仿宋" w:eastAsia="仿宋"/>
          <w:sz w:val="32"/>
          <w:szCs w:val="32"/>
        </w:rPr>
        <w:t>：作品主要包括文学、绘画、书法、音乐、摄影等。发表的平台包括公开出版发行的国家级、省部级、地市级和校级纸质媒体，国家级、省部级、地市级和校级的官方主流媒体网站（或相当于）。国家级、省部级、地市级和校级每项作品，分别计入</w:t>
      </w:r>
      <w:r>
        <w:rPr>
          <w:rFonts w:ascii="仿宋" w:hAnsi="仿宋" w:eastAsia="仿宋"/>
          <w:sz w:val="32"/>
          <w:szCs w:val="32"/>
        </w:rPr>
        <w:t>10分、8分、6分、4分。</w:t>
      </w:r>
    </w:p>
    <w:p w14:paraId="695EE79E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.同一比赛仅取最高奖励级别加分，各项加分可累加，但校级及以下赛事和文</w:t>
      </w:r>
      <w:r>
        <w:rPr>
          <w:rFonts w:hint="eastAsia" w:ascii="仿宋" w:hAnsi="仿宋" w:eastAsia="仿宋"/>
          <w:sz w:val="32"/>
          <w:szCs w:val="32"/>
        </w:rPr>
        <w:t>化艺术作品加分上限不超过</w:t>
      </w:r>
      <w:r>
        <w:rPr>
          <w:rFonts w:ascii="仿宋" w:hAnsi="仿宋" w:eastAsia="仿宋"/>
          <w:sz w:val="32"/>
          <w:szCs w:val="32"/>
        </w:rPr>
        <w:t>20分。</w:t>
      </w:r>
    </w:p>
    <w:p w14:paraId="30E67570"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七、劳育测评</w:t>
      </w:r>
    </w:p>
    <w:p w14:paraId="14340E7A">
      <w:pPr>
        <w:ind w:firstLine="640" w:firstLineChars="200"/>
        <w:rPr>
          <w:rFonts w:ascii="仿宋" w:hAnsi="仿宋" w:eastAsia="仿宋"/>
          <w:sz w:val="32"/>
          <w:szCs w:val="32"/>
        </w:rPr>
      </w:pPr>
      <w:bookmarkStart w:id="7" w:name="OLE_LINK9"/>
      <w:r>
        <w:rPr>
          <w:rFonts w:hint="eastAsia" w:ascii="仿宋" w:hAnsi="仿宋" w:eastAsia="仿宋"/>
          <w:sz w:val="32"/>
          <w:szCs w:val="32"/>
        </w:rPr>
        <w:t>劳育</w:t>
      </w:r>
      <w:bookmarkEnd w:id="7"/>
      <w:r>
        <w:rPr>
          <w:rFonts w:hint="eastAsia" w:ascii="仿宋" w:hAnsi="仿宋" w:eastAsia="仿宋"/>
          <w:sz w:val="32"/>
          <w:szCs w:val="32"/>
        </w:rPr>
        <w:t>成绩（</w:t>
      </w:r>
      <w:r>
        <w:rPr>
          <w:rFonts w:ascii="仿宋" w:hAnsi="仿宋" w:eastAsia="仿宋"/>
          <w:sz w:val="32"/>
          <w:szCs w:val="32"/>
        </w:rPr>
        <w:t>100分）=</w:t>
      </w:r>
      <w:bookmarkStart w:id="8" w:name="OLE_LINK8"/>
      <w:r>
        <w:rPr>
          <w:rFonts w:ascii="仿宋" w:hAnsi="仿宋" w:eastAsia="仿宋"/>
          <w:sz w:val="32"/>
          <w:szCs w:val="32"/>
        </w:rPr>
        <w:t>劳动实践</w:t>
      </w:r>
      <w:bookmarkEnd w:id="8"/>
      <w:r>
        <w:rPr>
          <w:rFonts w:ascii="仿宋" w:hAnsi="仿宋" w:eastAsia="仿宋"/>
          <w:sz w:val="32"/>
          <w:szCs w:val="32"/>
        </w:rPr>
        <w:t>（70分）+劳育加分（30分）。</w:t>
      </w:r>
    </w:p>
    <w:p w14:paraId="347AB32C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（一）劳育基础分：劳动实践（</w:t>
      </w:r>
      <w:r>
        <w:rPr>
          <w:rFonts w:ascii="仿宋" w:hAnsi="仿宋" w:eastAsia="仿宋"/>
          <w:sz w:val="32"/>
          <w:szCs w:val="32"/>
        </w:rPr>
        <w:t>70分）</w:t>
      </w:r>
    </w:p>
    <w:p w14:paraId="6FB7C6CA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</w:t>
      </w:r>
      <w:bookmarkStart w:id="9" w:name="OLE_LINK11"/>
      <w:r>
        <w:rPr>
          <w:rFonts w:hint="eastAsia" w:ascii="仿宋" w:hAnsi="仿宋" w:eastAsia="仿宋"/>
          <w:sz w:val="32"/>
          <w:szCs w:val="32"/>
        </w:rPr>
        <w:t>维护宿舍卫生，积极参加宿舍卫生清扫（</w:t>
      </w:r>
      <w:r>
        <w:rPr>
          <w:rFonts w:ascii="仿宋" w:hAnsi="仿宋" w:eastAsia="仿宋"/>
          <w:sz w:val="32"/>
          <w:szCs w:val="32"/>
        </w:rPr>
        <w:t>10分）。在校院两级宿舍卫生检查中，</w:t>
      </w:r>
      <w:r>
        <w:rPr>
          <w:rFonts w:hint="eastAsia" w:ascii="仿宋" w:hAnsi="仿宋" w:eastAsia="仿宋"/>
          <w:sz w:val="32"/>
          <w:szCs w:val="32"/>
        </w:rPr>
        <w:t>不合格一次扣</w:t>
      </w:r>
      <w:r>
        <w:rPr>
          <w:rFonts w:ascii="仿宋" w:hAnsi="仿宋" w:eastAsia="仿宋"/>
          <w:sz w:val="32"/>
          <w:szCs w:val="32"/>
        </w:rPr>
        <w:t>2分</w:t>
      </w:r>
      <w:bookmarkEnd w:id="9"/>
      <w:r>
        <w:rPr>
          <w:rFonts w:ascii="仿宋" w:hAnsi="仿宋" w:eastAsia="仿宋"/>
          <w:sz w:val="32"/>
          <w:szCs w:val="32"/>
        </w:rPr>
        <w:t>。</w:t>
      </w:r>
    </w:p>
    <w:p w14:paraId="7014F11C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.</w:t>
      </w:r>
      <w:bookmarkStart w:id="10" w:name="OLE_LINK12"/>
      <w:r>
        <w:rPr>
          <w:rFonts w:ascii="仿宋" w:hAnsi="仿宋" w:eastAsia="仿宋"/>
          <w:sz w:val="32"/>
          <w:szCs w:val="32"/>
        </w:rPr>
        <w:t>积极参加学校、学院、班级等组织的各类校园劳动实践活动，包括校园卫生、</w:t>
      </w:r>
      <w:r>
        <w:rPr>
          <w:rFonts w:hint="eastAsia" w:ascii="仿宋" w:hAnsi="仿宋" w:eastAsia="仿宋"/>
          <w:sz w:val="32"/>
          <w:szCs w:val="32"/>
        </w:rPr>
        <w:t>垃圾分类、教室清洁、实验室维护、食堂劳动、勤工助学（劳动类）等并开具相关证明，每学年劳动时长达到</w:t>
      </w:r>
      <w:r>
        <w:rPr>
          <w:rFonts w:ascii="仿宋" w:hAnsi="仿宋" w:eastAsia="仿宋"/>
          <w:sz w:val="32"/>
          <w:szCs w:val="32"/>
        </w:rPr>
        <w:t>20小时者计20分，低于20小时者折算计分</w:t>
      </w:r>
      <w:r>
        <w:rPr>
          <w:rFonts w:hint="eastAsia" w:ascii="仿宋" w:hAnsi="仿宋" w:eastAsia="仿宋"/>
          <w:sz w:val="32"/>
          <w:szCs w:val="32"/>
        </w:rPr>
        <w:t>，最高分2</w:t>
      </w:r>
      <w:r>
        <w:rPr>
          <w:rFonts w:ascii="仿宋" w:hAnsi="仿宋" w:eastAsia="仿宋"/>
          <w:sz w:val="32"/>
          <w:szCs w:val="32"/>
        </w:rPr>
        <w:t>0分，高于</w:t>
      </w: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0个小时，一律按照</w:t>
      </w: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0个小时计分。</w:t>
      </w:r>
      <w:bookmarkEnd w:id="10"/>
    </w:p>
    <w:p w14:paraId="4152EC93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.</w:t>
      </w:r>
      <w:bookmarkStart w:id="11" w:name="OLE_LINK13"/>
      <w:r>
        <w:rPr>
          <w:rFonts w:ascii="仿宋" w:hAnsi="仿宋" w:eastAsia="仿宋"/>
          <w:sz w:val="32"/>
          <w:szCs w:val="32"/>
        </w:rPr>
        <w:t>积极参加学校、学院、班级等组织开展的劳动实践类专题讲座或报告（10分），</w:t>
      </w:r>
      <w:r>
        <w:rPr>
          <w:rFonts w:hint="eastAsia" w:ascii="仿宋" w:hAnsi="仿宋" w:eastAsia="仿宋"/>
          <w:sz w:val="32"/>
          <w:szCs w:val="32"/>
        </w:rPr>
        <w:t>每学年达到</w:t>
      </w:r>
      <w:r>
        <w:rPr>
          <w:rFonts w:ascii="仿宋" w:hAnsi="仿宋" w:eastAsia="仿宋"/>
          <w:sz w:val="32"/>
          <w:szCs w:val="32"/>
        </w:rPr>
        <w:t>4次者计10分，低于4次者折算计分，以第二课堂管理平台记录为准</w:t>
      </w:r>
      <w:bookmarkEnd w:id="11"/>
      <w:r>
        <w:rPr>
          <w:rFonts w:ascii="仿宋" w:hAnsi="仿宋" w:eastAsia="仿宋"/>
          <w:sz w:val="32"/>
          <w:szCs w:val="32"/>
        </w:rPr>
        <w:t>。</w:t>
      </w:r>
    </w:p>
    <w:p w14:paraId="52CC9C63"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sz w:val="32"/>
          <w:szCs w:val="32"/>
        </w:rPr>
        <w:t>4</w:t>
      </w:r>
      <w:r>
        <w:rPr>
          <w:rFonts w:ascii="仿宋" w:hAnsi="仿宋" w:eastAsia="仿宋"/>
          <w:sz w:val="32"/>
          <w:szCs w:val="32"/>
        </w:rPr>
        <w:t>.践行“奉献、友爱、互助、进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步”的青年志愿者精神，积极参加学校、学院、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班级等组织的各类志愿服务活动，每学年志愿服务时长达到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20小时者计20分，低于20小时者每小时计1分；达到30小时计30分</w:t>
      </w:r>
      <w:r>
        <w:rPr>
          <w:rFonts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，40小时及以上计40分。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志愿者服务时间由学院青年志愿者协会负责统计。志愿者荣誉称号不加分。</w:t>
      </w:r>
    </w:p>
    <w:p w14:paraId="22B7C8CE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</w:t>
      </w:r>
      <w:r>
        <w:rPr>
          <w:rFonts w:ascii="仿宋" w:hAnsi="仿宋" w:eastAsia="仿宋"/>
          <w:sz w:val="32"/>
          <w:szCs w:val="32"/>
        </w:rPr>
        <w:t>.</w:t>
      </w:r>
      <w:bookmarkStart w:id="12" w:name="OLE_LINK14"/>
      <w:r>
        <w:rPr>
          <w:rFonts w:ascii="仿宋" w:hAnsi="仿宋" w:eastAsia="仿宋"/>
          <w:sz w:val="32"/>
          <w:szCs w:val="32"/>
        </w:rPr>
        <w:t>按照学校要求，在校外积极开展社会实践活动，完成当学年社会实践任务的</w:t>
      </w:r>
      <w:r>
        <w:rPr>
          <w:rFonts w:hint="eastAsia" w:ascii="仿宋" w:hAnsi="仿宋" w:eastAsia="仿宋"/>
          <w:sz w:val="32"/>
          <w:szCs w:val="32"/>
        </w:rPr>
        <w:t>计</w:t>
      </w:r>
      <w:r>
        <w:rPr>
          <w:rFonts w:ascii="仿宋" w:hAnsi="仿宋" w:eastAsia="仿宋"/>
          <w:sz w:val="32"/>
          <w:szCs w:val="32"/>
        </w:rPr>
        <w:t>10分，未完成社会实践任务者不计分。</w:t>
      </w:r>
      <w:bookmarkEnd w:id="12"/>
    </w:p>
    <w:p w14:paraId="64890629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（二）劳育加分（</w:t>
      </w:r>
      <w:r>
        <w:rPr>
          <w:rFonts w:ascii="仿宋" w:hAnsi="仿宋" w:eastAsia="仿宋"/>
          <w:sz w:val="32"/>
          <w:szCs w:val="32"/>
        </w:rPr>
        <w:t>30分）</w:t>
      </w:r>
    </w:p>
    <w:p w14:paraId="28EE07DE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.个人在志愿服务、劳动实践等活动中获评国家级、省部级、地市级、校级、院</w:t>
      </w:r>
      <w:r>
        <w:rPr>
          <w:rFonts w:hint="eastAsia" w:ascii="仿宋" w:hAnsi="仿宋" w:eastAsia="仿宋"/>
          <w:sz w:val="32"/>
          <w:szCs w:val="32"/>
        </w:rPr>
        <w:t>级荣誉的，分别计入</w:t>
      </w:r>
      <w:r>
        <w:rPr>
          <w:rFonts w:ascii="仿宋" w:hAnsi="仿宋" w:eastAsia="仿宋"/>
          <w:sz w:val="32"/>
          <w:szCs w:val="32"/>
        </w:rPr>
        <w:t>10分、8分、6分、4分、2分。同一项目或活动仅取最高</w:t>
      </w:r>
      <w:r>
        <w:rPr>
          <w:rFonts w:hint="eastAsia" w:ascii="仿宋" w:hAnsi="仿宋" w:eastAsia="仿宋"/>
          <w:sz w:val="32"/>
          <w:szCs w:val="32"/>
        </w:rPr>
        <w:t>奖励级别加分，获得多项荣誉的，可累加。</w:t>
      </w:r>
    </w:p>
    <w:p w14:paraId="5C021C50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.努力提高社会实践能力，在社会实践活动中个人获得国家级、省部级、地市</w:t>
      </w:r>
      <w:r>
        <w:rPr>
          <w:rFonts w:hint="eastAsia" w:ascii="仿宋" w:hAnsi="仿宋" w:eastAsia="仿宋"/>
          <w:sz w:val="32"/>
          <w:szCs w:val="32"/>
        </w:rPr>
        <w:t>级、校级、院级荣誉的，分别计</w:t>
      </w:r>
      <w:r>
        <w:rPr>
          <w:rFonts w:ascii="仿宋" w:hAnsi="仿宋" w:eastAsia="仿宋"/>
          <w:sz w:val="32"/>
          <w:szCs w:val="32"/>
        </w:rPr>
        <w:t>10分、8分、6分、4分、2分，集体获奖团队每人</w:t>
      </w:r>
      <w:r>
        <w:rPr>
          <w:rFonts w:hint="eastAsia" w:ascii="仿宋" w:hAnsi="仿宋" w:eastAsia="仿宋"/>
          <w:sz w:val="32"/>
          <w:szCs w:val="32"/>
        </w:rPr>
        <w:t>计入相应分数。同一项目或活动仅取最高奖励级别加分，获得多项荣誉的，可累加。</w:t>
      </w:r>
    </w:p>
    <w:p w14:paraId="6191AE9D"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.积极参加培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养方案以外的企业、专业实训基地、实习基地等各类实习的，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实习时间在七天及以上并提供单位证明，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经学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院认定，可加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1-5分。</w:t>
      </w:r>
    </w:p>
    <w:p w14:paraId="3C34D791">
      <w:pPr>
        <w:jc w:val="center"/>
      </w:pPr>
      <w:r>
        <w:rPr>
          <w:rFonts w:hint="eastAsia" w:ascii="黑体" w:hAnsi="黑体" w:eastAsia="黑体"/>
          <w:sz w:val="32"/>
          <w:szCs w:val="32"/>
        </w:rPr>
        <w:t>八、</w:t>
      </w:r>
      <w:r>
        <w:rPr>
          <w:rFonts w:ascii="黑体" w:hAnsi="黑体" w:eastAsia="黑体"/>
          <w:sz w:val="32"/>
          <w:szCs w:val="32"/>
        </w:rPr>
        <w:t>附则</w:t>
      </w:r>
    </w:p>
    <w:p w14:paraId="06505587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第</w:t>
      </w:r>
      <w:r>
        <w:rPr>
          <w:rFonts w:hint="eastAsia" w:ascii="仿宋" w:hAnsi="仿宋" w:eastAsia="仿宋"/>
          <w:sz w:val="32"/>
          <w:szCs w:val="32"/>
        </w:rPr>
        <w:t>一</w:t>
      </w:r>
      <w:r>
        <w:rPr>
          <w:rFonts w:ascii="仿宋" w:hAnsi="仿宋" w:eastAsia="仿宋"/>
          <w:sz w:val="32"/>
          <w:szCs w:val="32"/>
        </w:rPr>
        <w:t>条 本办法执行过程中，如有个别项目认定或加分等调整，由</w:t>
      </w:r>
      <w:r>
        <w:rPr>
          <w:rFonts w:hint="eastAsia" w:ascii="仿宋" w:hAnsi="仿宋" w:eastAsia="仿宋"/>
          <w:sz w:val="32"/>
          <w:szCs w:val="32"/>
        </w:rPr>
        <w:t>石油学院本科生综合测评委员会</w:t>
      </w:r>
      <w:r>
        <w:rPr>
          <w:rFonts w:ascii="仿宋" w:hAnsi="仿宋" w:eastAsia="仿宋"/>
          <w:sz w:val="32"/>
          <w:szCs w:val="32"/>
        </w:rPr>
        <w:t>研究决定。</w:t>
      </w:r>
    </w:p>
    <w:p w14:paraId="58961EAF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第</w:t>
      </w:r>
      <w:r>
        <w:rPr>
          <w:rFonts w:hint="eastAsia" w:ascii="仿宋" w:hAnsi="仿宋" w:eastAsia="仿宋"/>
          <w:sz w:val="32"/>
          <w:szCs w:val="32"/>
        </w:rPr>
        <w:t>二</w:t>
      </w:r>
      <w:r>
        <w:rPr>
          <w:rFonts w:ascii="仿宋" w:hAnsi="仿宋" w:eastAsia="仿宋"/>
          <w:sz w:val="32"/>
          <w:szCs w:val="32"/>
        </w:rPr>
        <w:t>条 本办法适用于</w:t>
      </w:r>
      <w:r>
        <w:rPr>
          <w:rFonts w:hint="eastAsia" w:ascii="仿宋" w:hAnsi="仿宋" w:eastAsia="仿宋"/>
          <w:sz w:val="32"/>
          <w:szCs w:val="32"/>
        </w:rPr>
        <w:t>石油学院</w:t>
      </w:r>
      <w:r>
        <w:rPr>
          <w:rFonts w:ascii="仿宋" w:hAnsi="仿宋" w:eastAsia="仿宋"/>
          <w:sz w:val="32"/>
          <w:szCs w:val="32"/>
        </w:rPr>
        <w:t>2024年及以后入学学生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ascii="仿宋" w:hAnsi="仿宋" w:eastAsia="仿宋"/>
          <w:sz w:val="32"/>
          <w:szCs w:val="32"/>
        </w:rPr>
        <w:t>2023年及以前入学学生按原有办法执行。</w:t>
      </w:r>
    </w:p>
    <w:p w14:paraId="256D74F9">
      <w:pPr>
        <w:tabs>
          <w:tab w:val="left" w:pos="1470"/>
        </w:tabs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第</w:t>
      </w:r>
      <w:r>
        <w:rPr>
          <w:rFonts w:hint="eastAsia" w:ascii="仿宋" w:hAnsi="仿宋" w:eastAsia="仿宋"/>
          <w:sz w:val="32"/>
          <w:szCs w:val="32"/>
        </w:rPr>
        <w:t>三</w:t>
      </w:r>
      <w:r>
        <w:rPr>
          <w:rFonts w:ascii="仿宋" w:hAnsi="仿宋" w:eastAsia="仿宋"/>
          <w:sz w:val="32"/>
          <w:szCs w:val="32"/>
        </w:rPr>
        <w:t xml:space="preserve">条 </w:t>
      </w:r>
      <w:r>
        <w:rPr>
          <w:rFonts w:ascii="仿宋" w:hAnsi="仿宋" w:eastAsia="仿宋"/>
          <w:sz w:val="32"/>
          <w:szCs w:val="32"/>
          <w:highlight w:val="none"/>
        </w:rPr>
        <w:t>本办法自发布之日起开始执行，由</w:t>
      </w:r>
      <w:r>
        <w:rPr>
          <w:rFonts w:hint="eastAsia" w:ascii="仿宋" w:hAnsi="仿宋" w:eastAsia="仿宋"/>
          <w:sz w:val="32"/>
          <w:szCs w:val="32"/>
          <w:highlight w:val="none"/>
        </w:rPr>
        <w:t>石油学院本科生综合测评委员会</w:t>
      </w:r>
      <w:r>
        <w:rPr>
          <w:rFonts w:ascii="仿宋" w:hAnsi="仿宋" w:eastAsia="仿宋"/>
          <w:sz w:val="32"/>
          <w:szCs w:val="32"/>
          <w:highlight w:val="none"/>
        </w:rPr>
        <w:t>负责解释。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8565620"/>
      <w:docPartObj>
        <w:docPartGallery w:val="autotext"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51BC0F5F">
        <w:pPr>
          <w:pStyle w:val="2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 xml:space="preserve">PAGE   \* MERGEFORMAT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sz w:val="20"/>
            <w:szCs w:val="20"/>
            <w:lang w:val="zh-CN"/>
          </w:rPr>
          <w:t>2</w:t>
        </w:r>
        <w:r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3392A969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E736D6"/>
    <w:multiLevelType w:val="multilevel"/>
    <w:tmpl w:val="38E736D6"/>
    <w:lvl w:ilvl="0" w:tentative="0">
      <w:start w:val="1"/>
      <w:numFmt w:val="decimal"/>
      <w:lvlText w:val="%1."/>
      <w:lvlJc w:val="left"/>
      <w:pPr>
        <w:ind w:left="970" w:hanging="33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E3F"/>
    <w:rsid w:val="000149A6"/>
    <w:rsid w:val="00030BAC"/>
    <w:rsid w:val="0004201D"/>
    <w:rsid w:val="000478DA"/>
    <w:rsid w:val="00055A5C"/>
    <w:rsid w:val="0006086B"/>
    <w:rsid w:val="00067138"/>
    <w:rsid w:val="00074C87"/>
    <w:rsid w:val="000802A9"/>
    <w:rsid w:val="00080CF0"/>
    <w:rsid w:val="00090059"/>
    <w:rsid w:val="0009299B"/>
    <w:rsid w:val="000B0285"/>
    <w:rsid w:val="000C20D0"/>
    <w:rsid w:val="000C3579"/>
    <w:rsid w:val="000C7CD4"/>
    <w:rsid w:val="000D48A3"/>
    <w:rsid w:val="00105060"/>
    <w:rsid w:val="00111EE3"/>
    <w:rsid w:val="00136D9E"/>
    <w:rsid w:val="00163B4C"/>
    <w:rsid w:val="00166B56"/>
    <w:rsid w:val="00174254"/>
    <w:rsid w:val="0018738B"/>
    <w:rsid w:val="00194728"/>
    <w:rsid w:val="001B4C1F"/>
    <w:rsid w:val="001C0D30"/>
    <w:rsid w:val="001D6203"/>
    <w:rsid w:val="001F479F"/>
    <w:rsid w:val="0020509B"/>
    <w:rsid w:val="00210269"/>
    <w:rsid w:val="00214516"/>
    <w:rsid w:val="00221CC3"/>
    <w:rsid w:val="002311E6"/>
    <w:rsid w:val="00252FA6"/>
    <w:rsid w:val="00262358"/>
    <w:rsid w:val="00262AB5"/>
    <w:rsid w:val="0028783A"/>
    <w:rsid w:val="002A06FC"/>
    <w:rsid w:val="002A7E65"/>
    <w:rsid w:val="002B0BAF"/>
    <w:rsid w:val="002B4217"/>
    <w:rsid w:val="00320E0A"/>
    <w:rsid w:val="0035698D"/>
    <w:rsid w:val="003675B0"/>
    <w:rsid w:val="00385330"/>
    <w:rsid w:val="003B4A11"/>
    <w:rsid w:val="003C50EA"/>
    <w:rsid w:val="00410A71"/>
    <w:rsid w:val="00417AD8"/>
    <w:rsid w:val="00423651"/>
    <w:rsid w:val="00446040"/>
    <w:rsid w:val="00462D39"/>
    <w:rsid w:val="0046616C"/>
    <w:rsid w:val="0046698F"/>
    <w:rsid w:val="00484A01"/>
    <w:rsid w:val="00486599"/>
    <w:rsid w:val="004925EF"/>
    <w:rsid w:val="004A06F6"/>
    <w:rsid w:val="004A62BE"/>
    <w:rsid w:val="004B3363"/>
    <w:rsid w:val="004B4DCF"/>
    <w:rsid w:val="004E05AC"/>
    <w:rsid w:val="004E1523"/>
    <w:rsid w:val="00520F55"/>
    <w:rsid w:val="00522E3F"/>
    <w:rsid w:val="005249B8"/>
    <w:rsid w:val="00531CBD"/>
    <w:rsid w:val="00554FEA"/>
    <w:rsid w:val="00583678"/>
    <w:rsid w:val="00586A6D"/>
    <w:rsid w:val="005B4CB2"/>
    <w:rsid w:val="005B5581"/>
    <w:rsid w:val="005D3C6F"/>
    <w:rsid w:val="005E7A2D"/>
    <w:rsid w:val="00605C84"/>
    <w:rsid w:val="00625D94"/>
    <w:rsid w:val="00630AF9"/>
    <w:rsid w:val="00632008"/>
    <w:rsid w:val="006459CA"/>
    <w:rsid w:val="00656FB3"/>
    <w:rsid w:val="006829C8"/>
    <w:rsid w:val="006948CF"/>
    <w:rsid w:val="006975E2"/>
    <w:rsid w:val="006A4738"/>
    <w:rsid w:val="006A4938"/>
    <w:rsid w:val="006A536F"/>
    <w:rsid w:val="006A642D"/>
    <w:rsid w:val="006B0F8D"/>
    <w:rsid w:val="006B3443"/>
    <w:rsid w:val="006B3D02"/>
    <w:rsid w:val="006D1ACC"/>
    <w:rsid w:val="006D6492"/>
    <w:rsid w:val="006E6D8A"/>
    <w:rsid w:val="006F1368"/>
    <w:rsid w:val="006F271B"/>
    <w:rsid w:val="0071683E"/>
    <w:rsid w:val="00717144"/>
    <w:rsid w:val="0072510C"/>
    <w:rsid w:val="007270AA"/>
    <w:rsid w:val="00733ED2"/>
    <w:rsid w:val="00764875"/>
    <w:rsid w:val="00767C4B"/>
    <w:rsid w:val="00767F23"/>
    <w:rsid w:val="007938E2"/>
    <w:rsid w:val="007B53B0"/>
    <w:rsid w:val="007F110D"/>
    <w:rsid w:val="007F1AF6"/>
    <w:rsid w:val="007F2419"/>
    <w:rsid w:val="0080094D"/>
    <w:rsid w:val="008058BA"/>
    <w:rsid w:val="00816597"/>
    <w:rsid w:val="0082199C"/>
    <w:rsid w:val="00852ACE"/>
    <w:rsid w:val="00857E95"/>
    <w:rsid w:val="00864CD8"/>
    <w:rsid w:val="008A0DAB"/>
    <w:rsid w:val="008B0476"/>
    <w:rsid w:val="008D1130"/>
    <w:rsid w:val="008D3E19"/>
    <w:rsid w:val="008D65AA"/>
    <w:rsid w:val="008E40D6"/>
    <w:rsid w:val="008F2E7C"/>
    <w:rsid w:val="00900CA0"/>
    <w:rsid w:val="0090105E"/>
    <w:rsid w:val="009051B6"/>
    <w:rsid w:val="00907CB3"/>
    <w:rsid w:val="00922229"/>
    <w:rsid w:val="009342F0"/>
    <w:rsid w:val="00965DA7"/>
    <w:rsid w:val="00966EBB"/>
    <w:rsid w:val="0099598E"/>
    <w:rsid w:val="00997548"/>
    <w:rsid w:val="009A0B2A"/>
    <w:rsid w:val="009B1C0E"/>
    <w:rsid w:val="009C0155"/>
    <w:rsid w:val="009D01A0"/>
    <w:rsid w:val="009D35F8"/>
    <w:rsid w:val="00A12264"/>
    <w:rsid w:val="00A2356D"/>
    <w:rsid w:val="00A333EA"/>
    <w:rsid w:val="00A6788F"/>
    <w:rsid w:val="00A876CC"/>
    <w:rsid w:val="00AA13C5"/>
    <w:rsid w:val="00AB0E7E"/>
    <w:rsid w:val="00AB6A86"/>
    <w:rsid w:val="00AB7B23"/>
    <w:rsid w:val="00AE3EF8"/>
    <w:rsid w:val="00B07985"/>
    <w:rsid w:val="00B1246A"/>
    <w:rsid w:val="00B2286F"/>
    <w:rsid w:val="00B240A8"/>
    <w:rsid w:val="00B301D4"/>
    <w:rsid w:val="00B473DF"/>
    <w:rsid w:val="00B524C1"/>
    <w:rsid w:val="00B53DA2"/>
    <w:rsid w:val="00B54864"/>
    <w:rsid w:val="00B60CF5"/>
    <w:rsid w:val="00B67C43"/>
    <w:rsid w:val="00B81AA2"/>
    <w:rsid w:val="00B823B7"/>
    <w:rsid w:val="00B93013"/>
    <w:rsid w:val="00BC3BF7"/>
    <w:rsid w:val="00BD1C74"/>
    <w:rsid w:val="00BD24D4"/>
    <w:rsid w:val="00BD4BAD"/>
    <w:rsid w:val="00BD7E76"/>
    <w:rsid w:val="00BF75E1"/>
    <w:rsid w:val="00C16C68"/>
    <w:rsid w:val="00C22908"/>
    <w:rsid w:val="00C30738"/>
    <w:rsid w:val="00C36CB6"/>
    <w:rsid w:val="00C46616"/>
    <w:rsid w:val="00C65621"/>
    <w:rsid w:val="00C67D42"/>
    <w:rsid w:val="00C74BA3"/>
    <w:rsid w:val="00C90B61"/>
    <w:rsid w:val="00C926B7"/>
    <w:rsid w:val="00CA2672"/>
    <w:rsid w:val="00CA44CB"/>
    <w:rsid w:val="00CC04C3"/>
    <w:rsid w:val="00CC435F"/>
    <w:rsid w:val="00CD50D4"/>
    <w:rsid w:val="00CD6AAA"/>
    <w:rsid w:val="00CE5327"/>
    <w:rsid w:val="00CF280F"/>
    <w:rsid w:val="00D06422"/>
    <w:rsid w:val="00D07525"/>
    <w:rsid w:val="00D26792"/>
    <w:rsid w:val="00D46AB6"/>
    <w:rsid w:val="00D7111A"/>
    <w:rsid w:val="00D729BB"/>
    <w:rsid w:val="00D845C3"/>
    <w:rsid w:val="00D8611A"/>
    <w:rsid w:val="00DC6C45"/>
    <w:rsid w:val="00DC7320"/>
    <w:rsid w:val="00DE23DB"/>
    <w:rsid w:val="00DE380A"/>
    <w:rsid w:val="00DE4FF9"/>
    <w:rsid w:val="00DE6B31"/>
    <w:rsid w:val="00DE7961"/>
    <w:rsid w:val="00DF53DA"/>
    <w:rsid w:val="00E07E32"/>
    <w:rsid w:val="00E07FD2"/>
    <w:rsid w:val="00E233BF"/>
    <w:rsid w:val="00E2653F"/>
    <w:rsid w:val="00E2777B"/>
    <w:rsid w:val="00E436ED"/>
    <w:rsid w:val="00E470F2"/>
    <w:rsid w:val="00E5669B"/>
    <w:rsid w:val="00E62DB6"/>
    <w:rsid w:val="00E64958"/>
    <w:rsid w:val="00E71048"/>
    <w:rsid w:val="00E7658B"/>
    <w:rsid w:val="00E856ED"/>
    <w:rsid w:val="00E92478"/>
    <w:rsid w:val="00E944D6"/>
    <w:rsid w:val="00EA7DCF"/>
    <w:rsid w:val="00EB029B"/>
    <w:rsid w:val="00EB32C5"/>
    <w:rsid w:val="00EC2C55"/>
    <w:rsid w:val="00ED4510"/>
    <w:rsid w:val="00ED7D2F"/>
    <w:rsid w:val="00EE6021"/>
    <w:rsid w:val="00EF2853"/>
    <w:rsid w:val="00F060B9"/>
    <w:rsid w:val="00F12663"/>
    <w:rsid w:val="00F162C9"/>
    <w:rsid w:val="00F1754E"/>
    <w:rsid w:val="00F26920"/>
    <w:rsid w:val="00F31096"/>
    <w:rsid w:val="00F376C7"/>
    <w:rsid w:val="00F8040D"/>
    <w:rsid w:val="00F812D7"/>
    <w:rsid w:val="00F81FD9"/>
    <w:rsid w:val="00F90934"/>
    <w:rsid w:val="00F90F03"/>
    <w:rsid w:val="00FA7B0A"/>
    <w:rsid w:val="00FB359D"/>
    <w:rsid w:val="00FC7E9B"/>
    <w:rsid w:val="00FF0683"/>
    <w:rsid w:val="00FF20EA"/>
    <w:rsid w:val="00FF4117"/>
    <w:rsid w:val="00FF7B77"/>
    <w:rsid w:val="00FF7DB9"/>
    <w:rsid w:val="00FF7F82"/>
    <w:rsid w:val="06103319"/>
    <w:rsid w:val="13A80E63"/>
    <w:rsid w:val="1C445781"/>
    <w:rsid w:val="2ED550A8"/>
    <w:rsid w:val="39201905"/>
    <w:rsid w:val="421A1FC5"/>
    <w:rsid w:val="450C6D03"/>
    <w:rsid w:val="59E630B7"/>
    <w:rsid w:val="6F7A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2B956-24D6-497E-BFF4-5E62180532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3323</Words>
  <Characters>3516</Characters>
  <Lines>43</Lines>
  <Paragraphs>12</Paragraphs>
  <TotalTime>2</TotalTime>
  <ScaleCrop>false</ScaleCrop>
  <LinksUpToDate>false</LinksUpToDate>
  <CharactersWithSpaces>3526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2025-01-09T04:09:00Z</dcterms:created>
  <dc:creator>huawei</dc:creator>
  <cp:lastModifiedBy>白鹭成双</cp:lastModifiedBy>
  <cp:lastPrinted>2025-01-08T02:49:00Z</cp:lastPrinted>
  <dcterms:modified xsi:type="dcterms:W3CDTF">2025-12-26T05:20:55Z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eyJoZGlkIjoiMWZjZTQ5Njc3MTNiNmQ2ZmZhMGQxMDMxMWFmY2NkZjUiLCJ1c2VySWQiOiIzMDcxODc4NDEifQ==</vt:lpwstr>
  </property>
  <property fmtid="{D5CDD505-2E9C-101B-9397-08002B2CF9AE}" pid="3" name="KSOProductBuildVer">
    <vt:lpwstr>2052-12.1.0.24034</vt:lpwstr>
  </property>
  <property fmtid="{D5CDD505-2E9C-101B-9397-08002B2CF9AE}" pid="4" name="ICV">
    <vt:lpwstr>0E5CED6EEAC64AA1A48971224E677C1E_13</vt:lpwstr>
  </property>
</Properties>
</file>