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DEA07">
      <w:pPr>
        <w:widowControl/>
        <w:adjustRightInd w:val="0"/>
        <w:snapToGrid w:val="0"/>
        <w:spacing w:line="560" w:lineRule="exact"/>
        <w:jc w:val="center"/>
        <w:rPr>
          <w:rFonts w:hint="eastAsia" w:ascii="仿宋_GB2312" w:hAnsi="微软雅黑" w:eastAsia="仿宋_GB2312"/>
          <w:color w:val="000000"/>
          <w:sz w:val="32"/>
          <w:szCs w:val="32"/>
        </w:rPr>
      </w:pPr>
      <w:bookmarkStart w:id="0" w:name="_GoBack"/>
      <w:bookmarkEnd w:id="0"/>
      <w:r>
        <w:rPr>
          <w:rFonts w:hint="eastAsia" w:ascii="方正小标宋简体" w:eastAsia="方正小标宋简体"/>
          <w:bCs/>
          <w:color w:val="000000"/>
          <w:kern w:val="0"/>
          <w:sz w:val="44"/>
          <w:szCs w:val="44"/>
        </w:rPr>
        <w:t>石油学院研究生综合测评实施办法</w:t>
      </w:r>
      <w:r>
        <w:rPr>
          <w:rFonts w:hint="eastAsia" w:ascii="方正小标宋简体" w:eastAsia="方正小标宋简体"/>
          <w:bCs/>
          <w:color w:val="000000"/>
          <w:kern w:val="0"/>
          <w:sz w:val="44"/>
          <w:szCs w:val="44"/>
        </w:rPr>
        <w:br w:type="textWrapping"/>
      </w:r>
      <w:r>
        <w:rPr>
          <w:rFonts w:hint="eastAsia" w:ascii="方正小标宋简体" w:eastAsia="方正小标宋简体"/>
          <w:bCs/>
          <w:color w:val="000000"/>
          <w:kern w:val="0"/>
          <w:sz w:val="44"/>
          <w:szCs w:val="44"/>
          <w:lang w:eastAsia="zh-CN"/>
        </w:rPr>
        <w:t>（</w:t>
      </w:r>
      <w:r>
        <w:rPr>
          <w:rFonts w:hint="eastAsia" w:ascii="方正小标宋简体" w:eastAsia="方正小标宋简体"/>
          <w:bCs/>
          <w:color w:val="000000"/>
          <w:kern w:val="0"/>
          <w:sz w:val="44"/>
          <w:szCs w:val="44"/>
          <w:lang w:val="en-US" w:eastAsia="zh-CN"/>
        </w:rPr>
        <w:t>适用2024年及以后入学的研究生</w:t>
      </w:r>
      <w:r>
        <w:rPr>
          <w:rFonts w:hint="eastAsia" w:ascii="方正小标宋简体" w:eastAsia="方正小标宋简体"/>
          <w:bCs/>
          <w:color w:val="000000"/>
          <w:kern w:val="0"/>
          <w:sz w:val="44"/>
          <w:szCs w:val="44"/>
          <w:lang w:eastAsia="zh-CN"/>
        </w:rPr>
        <w:t>）</w:t>
      </w:r>
    </w:p>
    <w:p w14:paraId="38A0A312">
      <w:pPr>
        <w:spacing w:line="560" w:lineRule="exact"/>
        <w:jc w:val="center"/>
        <w:rPr>
          <w:rFonts w:hint="eastAsia" w:ascii="仿宋_GB2312" w:hAnsi="微软雅黑" w:eastAsia="仿宋_GB2312"/>
          <w:color w:val="000000"/>
          <w:sz w:val="32"/>
          <w:szCs w:val="32"/>
        </w:rPr>
      </w:pPr>
      <w:r>
        <w:rPr>
          <w:rFonts w:hint="eastAsia" w:ascii="黑体" w:hAnsi="黑体" w:eastAsia="黑体" w:cs="黑体"/>
          <w:color w:val="000000"/>
          <w:sz w:val="32"/>
          <w:szCs w:val="32"/>
          <w:lang w:val="en-US" w:eastAsia="zh-CN"/>
        </w:rPr>
        <w:t>一、总则</w:t>
      </w:r>
    </w:p>
    <w:p w14:paraId="412833A7">
      <w:pPr>
        <w:numPr>
          <w:ilvl w:val="0"/>
          <w:numId w:val="0"/>
        </w:numPr>
        <w:spacing w:line="56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为了进一步规范学院学生工作日常管理，鼓励我院学生积极参加科技创新、社会实践、志愿服务、文艺晚会、体育比赛、征文等活动，依据《中国石油大学（北京）研究生综合</w:t>
      </w:r>
      <w:r>
        <w:rPr>
          <w:rFonts w:hint="eastAsia" w:ascii="仿宋_GB2312" w:hAnsi="微软雅黑" w:eastAsia="仿宋_GB2312"/>
          <w:color w:val="000000"/>
          <w:sz w:val="32"/>
          <w:szCs w:val="32"/>
          <w:lang w:val="en-US" w:eastAsia="zh-CN"/>
        </w:rPr>
        <w:t>素质</w:t>
      </w:r>
      <w:r>
        <w:rPr>
          <w:rFonts w:hint="eastAsia" w:ascii="仿宋_GB2312" w:hAnsi="微软雅黑" w:eastAsia="仿宋_GB2312"/>
          <w:color w:val="000000"/>
          <w:sz w:val="32"/>
          <w:szCs w:val="32"/>
        </w:rPr>
        <w:t>测评</w:t>
      </w:r>
      <w:r>
        <w:rPr>
          <w:rFonts w:hint="eastAsia" w:ascii="仿宋_GB2312" w:hAnsi="微软雅黑" w:eastAsia="仿宋_GB2312"/>
          <w:color w:val="000000"/>
          <w:sz w:val="32"/>
          <w:szCs w:val="32"/>
          <w:lang w:val="en-US" w:eastAsia="zh-CN"/>
        </w:rPr>
        <w:t>实施意见</w:t>
      </w: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修订</w:t>
      </w:r>
      <w:r>
        <w:rPr>
          <w:rFonts w:hint="eastAsia" w:ascii="仿宋_GB2312" w:hAnsi="微软雅黑" w:eastAsia="仿宋_GB2312"/>
          <w:color w:val="000000"/>
          <w:sz w:val="32"/>
          <w:szCs w:val="32"/>
        </w:rPr>
        <w:t>）》制定此规定。</w:t>
      </w:r>
    </w:p>
    <w:p w14:paraId="016077D2">
      <w:pPr>
        <w:numPr>
          <w:ilvl w:val="0"/>
          <w:numId w:val="0"/>
        </w:numPr>
        <w:spacing w:line="560" w:lineRule="exact"/>
        <w:ind w:firstLine="640" w:firstLineChars="200"/>
        <w:rPr>
          <w:rFonts w:hint="eastAsia" w:ascii="仿宋_GB2312" w:hAnsi="微软雅黑" w:eastAsia="仿宋_GB2312"/>
          <w:b/>
          <w:bCs/>
          <w:color w:val="FF0000"/>
          <w:sz w:val="32"/>
          <w:szCs w:val="32"/>
        </w:rPr>
      </w:pPr>
      <w:r>
        <w:rPr>
          <w:rFonts w:hint="eastAsia" w:ascii="仿宋_GB2312" w:hAnsi="微软雅黑" w:eastAsia="仿宋_GB2312"/>
          <w:color w:val="000000"/>
          <w:sz w:val="32"/>
          <w:szCs w:val="32"/>
          <w:lang w:val="en-US" w:eastAsia="zh-CN"/>
        </w:rPr>
        <w:t xml:space="preserve">第一条 </w:t>
      </w:r>
      <w:r>
        <w:rPr>
          <w:rFonts w:hint="eastAsia" w:ascii="仿宋_GB2312" w:hAnsi="微软雅黑" w:eastAsia="仿宋_GB2312"/>
          <w:color w:val="000000"/>
          <w:sz w:val="32"/>
          <w:szCs w:val="32"/>
        </w:rPr>
        <w:t>本办法适用于石油学院</w:t>
      </w:r>
      <w:r>
        <w:rPr>
          <w:rFonts w:hint="eastAsia" w:ascii="仿宋_GB2312" w:hAnsi="微软雅黑" w:eastAsia="仿宋_GB2312"/>
          <w:b/>
          <w:bCs/>
          <w:color w:val="FF0000"/>
          <w:sz w:val="32"/>
          <w:szCs w:val="32"/>
          <w:lang w:val="en-US" w:eastAsia="zh-CN"/>
        </w:rPr>
        <w:t>2024年及以后入学的</w:t>
      </w:r>
      <w:r>
        <w:rPr>
          <w:rFonts w:hint="eastAsia" w:ascii="仿宋_GB2312" w:hAnsi="微软雅黑" w:eastAsia="仿宋_GB2312"/>
          <w:b/>
          <w:bCs/>
          <w:color w:val="FF0000"/>
          <w:sz w:val="32"/>
          <w:szCs w:val="32"/>
        </w:rPr>
        <w:t>研究生。</w:t>
      </w:r>
    </w:p>
    <w:p w14:paraId="20A55DBF">
      <w:pPr>
        <w:numPr>
          <w:ilvl w:val="0"/>
          <w:numId w:val="0"/>
        </w:numPr>
        <w:spacing w:line="560" w:lineRule="exact"/>
        <w:ind w:firstLine="640" w:firstLineChars="200"/>
        <w:rPr>
          <w:rFonts w:hint="eastAsia" w:ascii="仿宋_GB2312" w:hAnsi="微软雅黑" w:eastAsia="仿宋_GB2312"/>
          <w:b/>
          <w:bCs/>
          <w:color w:val="FF0000"/>
          <w:sz w:val="32"/>
          <w:szCs w:val="32"/>
        </w:rPr>
      </w:pPr>
      <w:r>
        <w:rPr>
          <w:rFonts w:hint="eastAsia" w:ascii="仿宋_GB2312" w:hAnsi="微软雅黑" w:eastAsia="仿宋_GB2312"/>
          <w:b w:val="0"/>
          <w:bCs w:val="0"/>
          <w:color w:val="auto"/>
          <w:sz w:val="32"/>
          <w:szCs w:val="32"/>
          <w:lang w:val="en-US" w:eastAsia="zh-CN"/>
        </w:rPr>
        <w:t>第二条</w:t>
      </w:r>
      <w:r>
        <w:rPr>
          <w:rFonts w:hint="eastAsia" w:ascii="仿宋_GB2312" w:hAnsi="微软雅黑" w:eastAsia="仿宋_GB2312"/>
          <w:b/>
          <w:bCs/>
          <w:color w:val="auto"/>
          <w:sz w:val="32"/>
          <w:szCs w:val="32"/>
        </w:rPr>
        <w:t xml:space="preserve"> </w:t>
      </w:r>
      <w:r>
        <w:rPr>
          <w:rFonts w:hint="eastAsia" w:ascii="仿宋_GB2312" w:hAnsi="微软雅黑" w:eastAsia="仿宋_GB2312"/>
          <w:b w:val="0"/>
          <w:bCs w:val="0"/>
          <w:color w:val="auto"/>
          <w:sz w:val="32"/>
          <w:szCs w:val="32"/>
        </w:rPr>
        <w:t>为了进一步落实好研究生综合测评工作，特成立石油学院研究生综合测评委员会，由学院</w:t>
      </w:r>
      <w:r>
        <w:rPr>
          <w:rFonts w:hint="eastAsia" w:ascii="仿宋_GB2312" w:hAnsi="微软雅黑" w:eastAsia="仿宋_GB2312"/>
          <w:b w:val="0"/>
          <w:bCs w:val="0"/>
          <w:color w:val="auto"/>
          <w:sz w:val="32"/>
          <w:szCs w:val="32"/>
          <w:lang w:val="en-US" w:eastAsia="zh-CN"/>
        </w:rPr>
        <w:t>院长</w:t>
      </w:r>
      <w:r>
        <w:rPr>
          <w:rFonts w:hint="eastAsia" w:ascii="仿宋_GB2312" w:hAnsi="微软雅黑" w:eastAsia="仿宋_GB2312"/>
          <w:b w:val="0"/>
          <w:bCs w:val="0"/>
          <w:color w:val="auto"/>
          <w:sz w:val="32"/>
          <w:szCs w:val="32"/>
        </w:rPr>
        <w:t>任组长，党委副书记、主管研究生教学工作的副院长、研究生辅导员、研究生教学秘书等人为主要工作成员，本办法最终解释权归石油学院研究生综合测评委员会所有。</w:t>
      </w:r>
    </w:p>
    <w:p w14:paraId="6114A943">
      <w:pPr>
        <w:numPr>
          <w:ilvl w:val="0"/>
          <w:numId w:val="0"/>
        </w:numPr>
        <w:spacing w:line="56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第</w:t>
      </w:r>
      <w:r>
        <w:rPr>
          <w:rFonts w:hint="eastAsia" w:ascii="仿宋_GB2312" w:hAnsi="微软雅黑" w:eastAsia="仿宋_GB2312"/>
          <w:color w:val="000000"/>
          <w:sz w:val="32"/>
          <w:szCs w:val="32"/>
          <w:lang w:val="en-US" w:eastAsia="zh-CN"/>
        </w:rPr>
        <w:t>三</w:t>
      </w:r>
      <w:r>
        <w:rPr>
          <w:rFonts w:hint="eastAsia" w:ascii="仿宋_GB2312" w:hAnsi="微软雅黑" w:eastAsia="仿宋_GB2312"/>
          <w:color w:val="000000"/>
          <w:sz w:val="32"/>
          <w:szCs w:val="32"/>
        </w:rPr>
        <w:t>条 综合测评所有加分时间节点为</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去年9月1日—</w:t>
      </w:r>
      <w:r>
        <w:rPr>
          <w:rFonts w:hint="eastAsia" w:ascii="仿宋_GB2312" w:hAnsi="微软雅黑" w:eastAsia="仿宋_GB2312"/>
          <w:color w:val="000000"/>
          <w:sz w:val="32"/>
          <w:szCs w:val="32"/>
        </w:rPr>
        <w:t>当年8月31日，所有具备加分资格的条目应在上述时间内取得（</w:t>
      </w:r>
      <w:r>
        <w:rPr>
          <w:rFonts w:hint="eastAsia" w:ascii="仿宋_GB2312" w:hAnsi="微软雅黑" w:eastAsia="仿宋_GB2312"/>
          <w:b/>
          <w:bCs/>
          <w:color w:val="FF0000"/>
          <w:sz w:val="32"/>
          <w:szCs w:val="32"/>
        </w:rPr>
        <w:t>文章应见刊并发表，奖励、荣誉称号等各类项目应提供相关证明材料</w:t>
      </w:r>
      <w:r>
        <w:rPr>
          <w:rFonts w:hint="eastAsia" w:ascii="仿宋_GB2312" w:hAnsi="微软雅黑" w:eastAsia="仿宋_GB2312"/>
          <w:color w:val="000000"/>
          <w:sz w:val="32"/>
          <w:szCs w:val="32"/>
        </w:rPr>
        <w:t>）。</w:t>
      </w:r>
    </w:p>
    <w:p w14:paraId="355AF972">
      <w:pPr>
        <w:numPr>
          <w:ilvl w:val="0"/>
          <w:numId w:val="0"/>
        </w:numPr>
        <w:spacing w:line="560" w:lineRule="exact"/>
        <w:jc w:val="center"/>
        <w:rPr>
          <w:rFonts w:hint="eastAsia" w:ascii="仿宋_GB2312" w:hAnsi="微软雅黑" w:eastAsia="仿宋_GB2312"/>
          <w:color w:val="000000"/>
          <w:sz w:val="32"/>
          <w:szCs w:val="32"/>
        </w:rPr>
      </w:pPr>
      <w:r>
        <w:rPr>
          <w:rFonts w:hint="eastAsia" w:ascii="黑体" w:hAnsi="黑体" w:eastAsia="黑体" w:cs="黑体"/>
          <w:color w:val="000000"/>
          <w:sz w:val="32"/>
          <w:szCs w:val="32"/>
          <w:lang w:val="en-US" w:eastAsia="zh-CN"/>
        </w:rPr>
        <w:t>二、总成绩</w:t>
      </w:r>
    </w:p>
    <w:p w14:paraId="34436964">
      <w:pPr>
        <w:numPr>
          <w:ilvl w:val="0"/>
          <w:numId w:val="0"/>
        </w:num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综合测评成绩按百分制计分，计算方法为：综合测评成绩=德育成绩×15%+智育成绩×75%+体美劳成绩×10%</w:t>
      </w:r>
    </w:p>
    <w:p w14:paraId="3D9A3F77">
      <w:pPr>
        <w:numPr>
          <w:ilvl w:val="0"/>
          <w:numId w:val="0"/>
        </w:num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德育、体育、体美劳每部分成绩最低0分，最高100分。</w:t>
      </w:r>
    </w:p>
    <w:p w14:paraId="677F1C37">
      <w:p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三、德育成绩</w:t>
      </w:r>
    </w:p>
    <w:p w14:paraId="626CF31E">
      <w:pPr>
        <w:spacing w:line="560" w:lineRule="exac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德育</w:t>
      </w:r>
      <w:r>
        <w:rPr>
          <w:rFonts w:hint="eastAsia" w:ascii="仿宋_GB2312" w:hAnsi="微软雅黑" w:eastAsia="仿宋_GB2312"/>
          <w:color w:val="000000"/>
          <w:sz w:val="32"/>
          <w:szCs w:val="32"/>
          <w:lang w:val="en-US" w:eastAsia="zh-CN"/>
        </w:rPr>
        <w:t>成绩（</w:t>
      </w:r>
      <w:r>
        <w:rPr>
          <w:rFonts w:hint="eastAsia" w:ascii="仿宋_GB2312" w:hAnsi="微软雅黑" w:eastAsia="仿宋_GB2312"/>
          <w:color w:val="000000"/>
          <w:sz w:val="32"/>
          <w:szCs w:val="32"/>
        </w:rPr>
        <w:t>100分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德育</w:t>
      </w:r>
      <w:r>
        <w:rPr>
          <w:rFonts w:hint="eastAsia" w:ascii="仿宋_GB2312" w:hAnsi="微软雅黑" w:eastAsia="仿宋_GB2312"/>
          <w:color w:val="000000"/>
          <w:sz w:val="32"/>
          <w:szCs w:val="32"/>
          <w:lang w:val="en-US" w:eastAsia="zh-CN"/>
        </w:rPr>
        <w:t>基础</w:t>
      </w:r>
      <w:r>
        <w:rPr>
          <w:rFonts w:hint="eastAsia" w:ascii="仿宋_GB2312" w:hAnsi="微软雅黑" w:eastAsia="仿宋_GB2312"/>
          <w:color w:val="000000"/>
          <w:sz w:val="32"/>
          <w:szCs w:val="32"/>
        </w:rPr>
        <w:t>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70分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德育</w:t>
      </w:r>
      <w:r>
        <w:rPr>
          <w:rFonts w:hint="eastAsia" w:ascii="仿宋_GB2312" w:hAnsi="微软雅黑" w:eastAsia="仿宋_GB2312"/>
          <w:color w:val="000000"/>
          <w:sz w:val="32"/>
          <w:szCs w:val="32"/>
          <w:lang w:val="en-US" w:eastAsia="zh-CN"/>
        </w:rPr>
        <w:t>加</w:t>
      </w:r>
      <w:r>
        <w:rPr>
          <w:rFonts w:hint="eastAsia" w:ascii="仿宋_GB2312" w:hAnsi="微软雅黑" w:eastAsia="仿宋_GB2312"/>
          <w:color w:val="000000"/>
          <w:sz w:val="32"/>
          <w:szCs w:val="32"/>
        </w:rPr>
        <w:t>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30分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-扣分项</w:t>
      </w:r>
    </w:p>
    <w:p w14:paraId="2F54DD98">
      <w:pPr>
        <w:spacing w:line="560" w:lineRule="exact"/>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（一）</w:t>
      </w:r>
      <w:r>
        <w:rPr>
          <w:rFonts w:hint="eastAsia" w:ascii="仿宋_GB2312" w:hAnsi="微软雅黑" w:eastAsia="仿宋_GB2312"/>
          <w:color w:val="000000"/>
          <w:sz w:val="32"/>
          <w:szCs w:val="32"/>
          <w:lang w:val="en-US" w:eastAsia="zh-CN"/>
        </w:rPr>
        <w:t>德育</w:t>
      </w:r>
      <w:r>
        <w:rPr>
          <w:rFonts w:hint="eastAsia" w:ascii="仿宋_GB2312" w:hAnsi="微软雅黑" w:eastAsia="仿宋_GB2312"/>
          <w:color w:val="000000"/>
          <w:sz w:val="32"/>
          <w:szCs w:val="32"/>
        </w:rPr>
        <w:t>基础分（</w:t>
      </w:r>
      <w:r>
        <w:rPr>
          <w:rFonts w:hint="eastAsia" w:ascii="仿宋_GB2312" w:hAnsi="微软雅黑" w:eastAsia="仿宋_GB2312"/>
          <w:color w:val="000000"/>
          <w:sz w:val="32"/>
          <w:szCs w:val="32"/>
          <w:lang w:val="en-US" w:eastAsia="zh-CN"/>
        </w:rPr>
        <w:t>7</w:t>
      </w:r>
      <w:r>
        <w:rPr>
          <w:rFonts w:hint="eastAsia" w:ascii="仿宋_GB2312" w:hAnsi="微软雅黑" w:eastAsia="仿宋_GB2312"/>
          <w:color w:val="000000"/>
          <w:sz w:val="32"/>
          <w:szCs w:val="32"/>
        </w:rPr>
        <w:t>0分）</w:t>
      </w:r>
    </w:p>
    <w:p w14:paraId="5EAA6DBC">
      <w:p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德育基础分由班级同学、导师共同打分，</w:t>
      </w:r>
      <w:r>
        <w:rPr>
          <w:rFonts w:hint="eastAsia" w:ascii="仿宋_GB2312" w:hAnsi="微软雅黑" w:eastAsia="仿宋_GB2312"/>
          <w:color w:val="000000"/>
          <w:sz w:val="32"/>
          <w:szCs w:val="32"/>
          <w:lang w:val="en-US" w:eastAsia="zh-CN"/>
        </w:rPr>
        <w:t>取平均分后乘以70%</w:t>
      </w: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打分分A、B、C、D四个等级，分别为95分、90分、85分、80分。</w:t>
      </w:r>
    </w:p>
    <w:p w14:paraId="07C332F0">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评分主要参考参评同学以下十个方面的表现进行打分</w:t>
      </w:r>
      <w:r>
        <w:rPr>
          <w:rFonts w:hint="eastAsia" w:ascii="仿宋_GB2312" w:hAnsi="微软雅黑" w:eastAsia="仿宋_GB2312"/>
          <w:color w:val="000000"/>
          <w:sz w:val="32"/>
          <w:szCs w:val="32"/>
          <w:lang w:val="en-US" w:eastAsia="zh-CN"/>
        </w:rPr>
        <w:t>，每个方面各占10分</w:t>
      </w:r>
      <w:r>
        <w:rPr>
          <w:rFonts w:hint="default" w:ascii="仿宋_GB2312" w:hAnsi="微软雅黑" w:eastAsia="仿宋_GB2312"/>
          <w:color w:val="000000"/>
          <w:sz w:val="32"/>
          <w:szCs w:val="32"/>
          <w:lang w:val="en-US" w:eastAsia="zh-CN"/>
        </w:rPr>
        <w:t>：</w:t>
      </w:r>
    </w:p>
    <w:p w14:paraId="620B0470">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1.热爱祖国，具有较高的政治觉悟和坚定的政治信念，能够用马克思主义的立场、观点和方法分析问题、解决问题；</w:t>
      </w:r>
    </w:p>
    <w:p w14:paraId="6D23A30D">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2.自觉遵守国家法律法规和社会公德，具有较强的社会责任感和集体荣誉感，正确处理个人、集体和国家利益之间的关系；</w:t>
      </w:r>
    </w:p>
    <w:p w14:paraId="5ADEE8C4">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3.自觉遵守校纪校规，在公共场所举止文明得体；</w:t>
      </w:r>
    </w:p>
    <w:p w14:paraId="7AAD7B40">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4.学习目的明确、态度端正，具有良好的生活习惯；</w:t>
      </w:r>
    </w:p>
    <w:p w14:paraId="09DD2F3B">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5.积极参加校、院</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班级</w:t>
      </w:r>
      <w:r>
        <w:rPr>
          <w:rFonts w:hint="eastAsia" w:ascii="仿宋_GB2312" w:hAnsi="微软雅黑" w:eastAsia="仿宋_GB2312"/>
          <w:color w:val="000000"/>
          <w:sz w:val="32"/>
          <w:szCs w:val="32"/>
          <w:lang w:val="en-US" w:eastAsia="zh-CN"/>
        </w:rPr>
        <w:t>或所在单位</w:t>
      </w:r>
      <w:r>
        <w:rPr>
          <w:rFonts w:hint="default" w:ascii="仿宋_GB2312" w:hAnsi="微软雅黑" w:eastAsia="仿宋_GB2312"/>
          <w:color w:val="000000"/>
          <w:sz w:val="32"/>
          <w:szCs w:val="32"/>
          <w:lang w:val="en-US" w:eastAsia="zh-CN"/>
        </w:rPr>
        <w:t>组织的各项活动；</w:t>
      </w:r>
    </w:p>
    <w:p w14:paraId="742254E7">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6.自觉遵守实验室的规定和安全规范；</w:t>
      </w:r>
    </w:p>
    <w:p w14:paraId="76BFEE86">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7.自觉遵守科学道德和学术规范要求；</w:t>
      </w:r>
    </w:p>
    <w:p w14:paraId="53561196">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8.尊敬实验室</w:t>
      </w:r>
      <w:r>
        <w:rPr>
          <w:rFonts w:hint="eastAsia" w:ascii="仿宋_GB2312" w:hAnsi="微软雅黑" w:eastAsia="仿宋_GB2312"/>
          <w:color w:val="000000"/>
          <w:sz w:val="32"/>
          <w:szCs w:val="32"/>
          <w:lang w:val="en-US" w:eastAsia="zh-CN"/>
        </w:rPr>
        <w:t>和课题组</w:t>
      </w:r>
      <w:r>
        <w:rPr>
          <w:rFonts w:hint="default" w:ascii="仿宋_GB2312" w:hAnsi="微软雅黑" w:eastAsia="仿宋_GB2312"/>
          <w:color w:val="000000"/>
          <w:sz w:val="32"/>
          <w:szCs w:val="32"/>
          <w:lang w:val="en-US" w:eastAsia="zh-CN"/>
        </w:rPr>
        <w:t>教师，团结实验室</w:t>
      </w:r>
      <w:r>
        <w:rPr>
          <w:rFonts w:hint="eastAsia" w:ascii="仿宋_GB2312" w:hAnsi="微软雅黑" w:eastAsia="仿宋_GB2312"/>
          <w:color w:val="000000"/>
          <w:sz w:val="32"/>
          <w:szCs w:val="32"/>
          <w:lang w:val="en-US" w:eastAsia="zh-CN"/>
        </w:rPr>
        <w:t>和课题组</w:t>
      </w:r>
      <w:r>
        <w:rPr>
          <w:rFonts w:hint="default" w:ascii="仿宋_GB2312" w:hAnsi="微软雅黑" w:eastAsia="仿宋_GB2312"/>
          <w:color w:val="000000"/>
          <w:sz w:val="32"/>
          <w:szCs w:val="32"/>
          <w:lang w:val="en-US" w:eastAsia="zh-CN"/>
        </w:rPr>
        <w:t>同学；</w:t>
      </w:r>
    </w:p>
    <w:p w14:paraId="16EDCA05">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9.积极</w:t>
      </w:r>
      <w:r>
        <w:rPr>
          <w:rFonts w:hint="eastAsia" w:ascii="仿宋_GB2312" w:hAnsi="微软雅黑" w:eastAsia="仿宋_GB2312"/>
          <w:color w:val="000000"/>
          <w:sz w:val="32"/>
          <w:szCs w:val="32"/>
          <w:lang w:val="en-US" w:eastAsia="zh-CN"/>
        </w:rPr>
        <w:t>参与学术活动，</w:t>
      </w:r>
      <w:r>
        <w:rPr>
          <w:rFonts w:hint="default" w:ascii="仿宋_GB2312" w:hAnsi="微软雅黑" w:eastAsia="仿宋_GB2312"/>
          <w:color w:val="000000"/>
          <w:sz w:val="32"/>
          <w:szCs w:val="32"/>
          <w:lang w:val="en-US" w:eastAsia="zh-CN"/>
        </w:rPr>
        <w:t>研工作进展良好</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认真完成导师交给的科研任务等；</w:t>
      </w:r>
    </w:p>
    <w:p w14:paraId="693C31B8">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10.</w:t>
      </w:r>
      <w:r>
        <w:rPr>
          <w:rFonts w:hint="eastAsia" w:ascii="仿宋_GB2312" w:hAnsi="微软雅黑" w:eastAsia="仿宋_GB2312"/>
          <w:color w:val="000000"/>
          <w:sz w:val="32"/>
          <w:szCs w:val="32"/>
          <w:lang w:val="en-US" w:eastAsia="zh-CN"/>
        </w:rPr>
        <w:t>在课程学习、科研项目开展、实习实践中有良好的团队协作能力</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担当和责任意识</w:t>
      </w:r>
      <w:r>
        <w:rPr>
          <w:rFonts w:hint="default" w:ascii="仿宋_GB2312" w:hAnsi="微软雅黑" w:eastAsia="仿宋_GB2312"/>
          <w:color w:val="000000"/>
          <w:sz w:val="32"/>
          <w:szCs w:val="32"/>
          <w:lang w:val="en-US" w:eastAsia="zh-CN"/>
        </w:rPr>
        <w:t>。</w:t>
      </w:r>
    </w:p>
    <w:p w14:paraId="2E1691ED">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(二)</w:t>
      </w:r>
      <w:r>
        <w:rPr>
          <w:rFonts w:hint="eastAsia" w:ascii="仿宋_GB2312" w:hAnsi="微软雅黑" w:eastAsia="仿宋_GB2312"/>
          <w:color w:val="000000"/>
          <w:sz w:val="32"/>
          <w:szCs w:val="32"/>
          <w:lang w:val="en-US" w:eastAsia="zh-CN"/>
        </w:rPr>
        <w:t>德育加</w:t>
      </w:r>
      <w:r>
        <w:rPr>
          <w:rFonts w:hint="default" w:ascii="仿宋_GB2312" w:hAnsi="微软雅黑" w:eastAsia="仿宋_GB2312"/>
          <w:color w:val="000000"/>
          <w:sz w:val="32"/>
          <w:szCs w:val="32"/>
          <w:lang w:val="en-US" w:eastAsia="zh-CN"/>
        </w:rPr>
        <w:t>分</w:t>
      </w:r>
    </w:p>
    <w:p w14:paraId="71CC55D2">
      <w:p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德育加分由综合测评工作小组核定，包括思想品德表现及学生社会工作两部分，各项分值可累加，上限不超过30分。</w:t>
      </w:r>
    </w:p>
    <w:p w14:paraId="197DBC3F">
      <w:pPr>
        <w:pStyle w:val="13"/>
        <w:numPr>
          <w:ilvl w:val="0"/>
          <w:numId w:val="0"/>
        </w:numPr>
        <w:ind w:left="640" w:leftChars="0"/>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ascii="仿宋" w:hAnsi="仿宋" w:eastAsia="仿宋"/>
          <w:sz w:val="32"/>
          <w:szCs w:val="32"/>
        </w:rPr>
        <w:t>思想品德表现</w:t>
      </w:r>
      <w:r>
        <w:rPr>
          <w:rFonts w:hint="eastAsia" w:ascii="仿宋" w:hAnsi="仿宋" w:eastAsia="仿宋"/>
          <w:sz w:val="32"/>
          <w:szCs w:val="32"/>
          <w:lang w:eastAsia="zh-CN"/>
        </w:rPr>
        <w:t>。</w:t>
      </w:r>
    </w:p>
    <w:p w14:paraId="4DD54F14">
      <w:pPr>
        <w:pStyle w:val="13"/>
        <w:numPr>
          <w:ilvl w:val="0"/>
          <w:numId w:val="0"/>
        </w:numPr>
        <w:ind w:firstLine="640" w:firstLineChars="200"/>
        <w:rPr>
          <w:rFonts w:hint="eastAsia" w:ascii="仿宋" w:hAnsi="仿宋" w:eastAsia="仿宋"/>
          <w:sz w:val="32"/>
          <w:szCs w:val="32"/>
          <w:lang w:val="en-US" w:eastAsia="zh-CN"/>
        </w:rPr>
      </w:pPr>
      <w:r>
        <w:rPr>
          <w:rFonts w:ascii="仿宋" w:hAnsi="仿宋" w:eastAsia="仿宋"/>
          <w:sz w:val="32"/>
          <w:szCs w:val="32"/>
        </w:rPr>
        <w:t>包括集体荣誉、个人荣誉、和积极表现</w:t>
      </w:r>
      <w:r>
        <w:rPr>
          <w:rFonts w:hint="eastAsia" w:ascii="仿宋" w:hAnsi="仿宋" w:eastAsia="仿宋"/>
          <w:sz w:val="32"/>
          <w:szCs w:val="32"/>
          <w:lang w:val="en-US" w:eastAsia="zh-CN"/>
        </w:rPr>
        <w:t>三</w:t>
      </w:r>
      <w:r>
        <w:rPr>
          <w:rFonts w:ascii="仿宋" w:hAnsi="仿宋" w:eastAsia="仿宋"/>
          <w:sz w:val="32"/>
          <w:szCs w:val="32"/>
        </w:rPr>
        <w:t>个方面，按下</w:t>
      </w:r>
      <w:r>
        <w:rPr>
          <w:rFonts w:hint="eastAsia" w:ascii="仿宋" w:hAnsi="仿宋" w:eastAsia="仿宋"/>
          <w:sz w:val="32"/>
          <w:szCs w:val="32"/>
        </w:rPr>
        <w:t>述标准加分，如所获荣誉不分级别，视为该等级一等奖。</w:t>
      </w:r>
      <w:r>
        <w:rPr>
          <w:rFonts w:hint="eastAsia" w:ascii="仿宋" w:hAnsi="仿宋" w:eastAsia="仿宋"/>
          <w:sz w:val="32"/>
          <w:szCs w:val="32"/>
          <w:lang w:val="en-US" w:eastAsia="zh-CN"/>
        </w:rPr>
        <w:t>各项分值可累加。</w:t>
      </w:r>
    </w:p>
    <w:p w14:paraId="0A18B754">
      <w:pPr>
        <w:widowControl w:val="0"/>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w:t>
      </w:r>
      <w:r>
        <w:rPr>
          <w:rFonts w:hint="default" w:ascii="仿宋_GB2312" w:hAnsi="微软雅黑" w:eastAsia="仿宋_GB2312"/>
          <w:color w:val="000000"/>
          <w:sz w:val="32"/>
          <w:szCs w:val="32"/>
          <w:lang w:val="en-US" w:eastAsia="zh-CN"/>
        </w:rPr>
        <w:t>在舍已救人、保卫国家集体财产安全、树立良好校风方面有突出贡献者，经所在院（系、部）批准可加5-20分；</w:t>
      </w:r>
    </w:p>
    <w:p w14:paraId="13001A8E">
      <w:pPr>
        <w:widowControl w:val="0"/>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被评为先进集体的，院级优秀班集体每人加2分，校级先进班集体每人加3分，校级示范班集体每人加4分，市级每人加5分，省部级每人加8分，国家级每人加15分；被评为先进党、团支部的党员、团员也按上述标准加分。当学年出现成绩不及格或获得处分者，不参与集体加分。</w:t>
      </w:r>
    </w:p>
    <w:p w14:paraId="3CC97F71">
      <w:pPr>
        <w:widowControl w:val="0"/>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（3）</w:t>
      </w:r>
      <w:r>
        <w:rPr>
          <w:rFonts w:hint="default" w:ascii="仿宋_GB2312" w:hAnsi="微软雅黑" w:eastAsia="仿宋_GB2312"/>
          <w:color w:val="000000"/>
          <w:sz w:val="32"/>
          <w:szCs w:val="32"/>
          <w:lang w:val="en-US" w:eastAsia="zh-CN"/>
        </w:rPr>
        <w:t>校级、市（部）级、国家级先进个人分别加5、10、15分</w:t>
      </w:r>
      <w:r>
        <w:rPr>
          <w:rFonts w:hint="eastAsia" w:ascii="仿宋_GB2312" w:hAnsi="微软雅黑" w:eastAsia="仿宋_GB2312"/>
          <w:color w:val="000000"/>
          <w:sz w:val="32"/>
          <w:szCs w:val="32"/>
          <w:lang w:val="en-US" w:eastAsia="zh-CN"/>
        </w:rPr>
        <w:t>；</w:t>
      </w:r>
    </w:p>
    <w:p w14:paraId="6E89FC94">
      <w:pPr>
        <w:widowControl w:val="0"/>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w:t>
      </w:r>
      <w:r>
        <w:rPr>
          <w:rFonts w:hint="default" w:ascii="仿宋_GB2312" w:hAnsi="微软雅黑" w:eastAsia="仿宋_GB2312"/>
          <w:color w:val="000000"/>
          <w:sz w:val="32"/>
          <w:szCs w:val="32"/>
          <w:lang w:val="en-US" w:eastAsia="zh-CN"/>
        </w:rPr>
        <w:t>参加校区演讲比赛、校园环湖跑大赛、校区校史校情知识竞赛、文明宿舍评比等校级及以上比赛获奖并为学院争得荣誉者：一等奖加4分，二等奖加3分，三等奖加2分；参加辩论赛、知识竞赛、宿舍文化节等院级比赛获奖者：一等奖加2分，二等奖加1分，三等奖加0.5分。该项最多加10分，具体赋分名单以学院学生组织公示为准，未尽活动以学院通知为准。</w:t>
      </w:r>
    </w:p>
    <w:p w14:paraId="2464AD38">
      <w:pPr>
        <w:widowControl w:val="0"/>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（5）</w:t>
      </w:r>
      <w:r>
        <w:rPr>
          <w:rFonts w:hint="default" w:ascii="仿宋_GB2312" w:hAnsi="微软雅黑" w:eastAsia="仿宋_GB2312"/>
          <w:color w:val="000000"/>
          <w:sz w:val="32"/>
          <w:szCs w:val="32"/>
          <w:lang w:val="en-US" w:eastAsia="zh-CN"/>
        </w:rPr>
        <w:t>积极参加学术报告或学术论坛等活动，根据现场签到情况，可按照事前通知的分值加分，该项最多加10分。</w:t>
      </w:r>
    </w:p>
    <w:p w14:paraId="02C90CD0">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.在学校或学院担任学生干部，任期满一学年(含，下同)以上，根据其工作表现，由学生干部所在社团</w:t>
      </w:r>
      <w:r>
        <w:rPr>
          <w:rFonts w:hint="eastAsia" w:ascii="仿宋_GB2312" w:hAnsi="微软雅黑" w:eastAsia="仿宋_GB2312"/>
          <w:color w:val="000000"/>
          <w:sz w:val="32"/>
          <w:szCs w:val="32"/>
          <w:lang w:val="en-US" w:eastAsia="zh-CN"/>
        </w:rPr>
        <w:t>或</w:t>
      </w:r>
      <w:r>
        <w:rPr>
          <w:rFonts w:hint="default" w:ascii="仿宋_GB2312" w:hAnsi="微软雅黑" w:eastAsia="仿宋_GB2312"/>
          <w:color w:val="000000"/>
          <w:sz w:val="32"/>
          <w:szCs w:val="32"/>
          <w:lang w:val="en-US" w:eastAsia="zh-CN"/>
        </w:rPr>
        <w:t>社团管理部门打分</w:t>
      </w:r>
      <w:r>
        <w:rPr>
          <w:rFonts w:hint="eastAsia" w:ascii="仿宋_GB2312" w:hAnsi="微软雅黑" w:eastAsia="仿宋_GB2312"/>
          <w:color w:val="000000"/>
          <w:sz w:val="32"/>
          <w:szCs w:val="32"/>
          <w:lang w:val="en-US" w:eastAsia="zh-CN"/>
        </w:rPr>
        <w:t>；在班级工作的学生干部，由辅导员打分；工作不满一学年的，视工作表现情况不予加分或按任职时长折算加分；因疾病住院等不可抗因素学年中不再担任班委的，可按照月份折算加分；因违纪、工作态度懈怠等原因中途卸任的不加分</w:t>
      </w:r>
      <w:r>
        <w:rPr>
          <w:rFonts w:hint="default" w:ascii="仿宋_GB2312" w:hAnsi="微软雅黑" w:eastAsia="仿宋_GB2312"/>
          <w:color w:val="000000"/>
          <w:sz w:val="32"/>
          <w:szCs w:val="32"/>
          <w:lang w:val="en-US" w:eastAsia="zh-CN"/>
        </w:rPr>
        <w:t>。</w:t>
      </w:r>
      <w:r>
        <w:rPr>
          <w:rFonts w:hint="eastAsia" w:ascii="仿宋_GB2312" w:hAnsi="微软雅黑" w:eastAsia="仿宋_GB2312"/>
          <w:b/>
          <w:bCs/>
          <w:color w:val="FF0000"/>
          <w:sz w:val="32"/>
          <w:szCs w:val="32"/>
          <w:lang w:val="en-US" w:eastAsia="zh-CN"/>
        </w:rPr>
        <w:t>同时担任多个学生干部职务的，最多可累加2项，第二项职务加分乘上0.5的系数后累加。</w:t>
      </w:r>
      <w:r>
        <w:rPr>
          <w:rFonts w:hint="eastAsia" w:ascii="仿宋_GB2312" w:hAnsi="微软雅黑" w:eastAsia="仿宋_GB2312"/>
          <w:color w:val="000000"/>
          <w:sz w:val="32"/>
          <w:szCs w:val="32"/>
          <w:lang w:val="en-US" w:eastAsia="zh-CN"/>
        </w:rPr>
        <w:t>各项的打分范围如下：</w:t>
      </w:r>
    </w:p>
    <w:p w14:paraId="0E232075">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（1）校</w:t>
      </w:r>
      <w:r>
        <w:rPr>
          <w:rFonts w:hint="default" w:ascii="仿宋_GB2312" w:hAnsi="微软雅黑" w:eastAsia="仿宋_GB2312"/>
          <w:color w:val="000000"/>
          <w:sz w:val="32"/>
          <w:szCs w:val="32"/>
          <w:lang w:val="en-US" w:eastAsia="zh-CN"/>
        </w:rPr>
        <w:t>区研究生会</w:t>
      </w:r>
      <w:r>
        <w:rPr>
          <w:rFonts w:hint="eastAsia" w:ascii="仿宋_GB2312" w:hAnsi="微软雅黑" w:eastAsia="仿宋_GB2312"/>
          <w:color w:val="000000"/>
          <w:sz w:val="32"/>
          <w:szCs w:val="32"/>
          <w:lang w:val="en-US" w:eastAsia="zh-CN"/>
        </w:rPr>
        <w:t>主席</w:t>
      </w:r>
      <w:r>
        <w:rPr>
          <w:rFonts w:hint="default" w:ascii="仿宋_GB2312" w:hAnsi="微软雅黑" w:eastAsia="仿宋_GB2312"/>
          <w:color w:val="000000"/>
          <w:sz w:val="32"/>
          <w:szCs w:val="32"/>
          <w:lang w:val="en-US" w:eastAsia="zh-CN"/>
        </w:rPr>
        <w:t>、部长、部委加分按管理部门打分进行加分</w:t>
      </w:r>
      <w:r>
        <w:rPr>
          <w:rFonts w:hint="eastAsia" w:ascii="仿宋_GB2312" w:hAnsi="微软雅黑" w:eastAsia="仿宋_GB2312"/>
          <w:color w:val="000000"/>
          <w:sz w:val="32"/>
          <w:szCs w:val="32"/>
          <w:lang w:val="en-US" w:eastAsia="zh-CN"/>
        </w:rPr>
        <w:t>，正副</w:t>
      </w:r>
      <w:r>
        <w:rPr>
          <w:rFonts w:hint="default" w:ascii="仿宋_GB2312" w:hAnsi="微软雅黑" w:eastAsia="仿宋_GB2312"/>
          <w:color w:val="000000"/>
          <w:sz w:val="32"/>
          <w:szCs w:val="32"/>
          <w:lang w:val="en-US" w:eastAsia="zh-CN"/>
        </w:rPr>
        <w:t>主席加0-15分；正副部长0-</w:t>
      </w:r>
      <w:r>
        <w:rPr>
          <w:rFonts w:hint="eastAsia" w:ascii="仿宋_GB2312" w:hAnsi="微软雅黑" w:eastAsia="仿宋_GB2312"/>
          <w:color w:val="000000"/>
          <w:sz w:val="32"/>
          <w:szCs w:val="32"/>
          <w:lang w:val="en-US" w:eastAsia="zh-CN"/>
        </w:rPr>
        <w:t>10</w:t>
      </w:r>
      <w:r>
        <w:rPr>
          <w:rFonts w:hint="default" w:ascii="仿宋_GB2312" w:hAnsi="微软雅黑" w:eastAsia="仿宋_GB2312"/>
          <w:color w:val="000000"/>
          <w:sz w:val="32"/>
          <w:szCs w:val="32"/>
          <w:lang w:val="en-US" w:eastAsia="zh-CN"/>
        </w:rPr>
        <w:t>分；部委0-</w:t>
      </w:r>
      <w:r>
        <w:rPr>
          <w:rFonts w:hint="eastAsia" w:ascii="仿宋_GB2312" w:hAnsi="微软雅黑" w:eastAsia="仿宋_GB2312"/>
          <w:color w:val="000000"/>
          <w:sz w:val="32"/>
          <w:szCs w:val="32"/>
          <w:lang w:val="en-US" w:eastAsia="zh-CN"/>
        </w:rPr>
        <w:t>6</w:t>
      </w:r>
      <w:r>
        <w:rPr>
          <w:rFonts w:hint="default" w:ascii="仿宋_GB2312" w:hAnsi="微软雅黑" w:eastAsia="仿宋_GB2312"/>
          <w:color w:val="000000"/>
          <w:sz w:val="32"/>
          <w:szCs w:val="32"/>
          <w:lang w:val="en-US" w:eastAsia="zh-CN"/>
        </w:rPr>
        <w:t>分。</w:t>
      </w:r>
    </w:p>
    <w:p w14:paraId="23DB0DAC">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（2）校级功能型社团正副职及部门负责人按管理部门打分进行加分：正副职0-10分；部门负责人0-6分。</w:t>
      </w:r>
    </w:p>
    <w:p w14:paraId="2DD249A3">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（3）院学生会、院级各学生社团（兴趣类社团除外）正副主席0-10分；正副部长0-6分；部委0-4分。</w:t>
      </w:r>
    </w:p>
    <w:p w14:paraId="41234274">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（4）校区兴趣型社团负责人加0-2分，其他成员不加分。兴趣小组不加分。</w:t>
      </w:r>
    </w:p>
    <w:p w14:paraId="0B7A5ED5">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5</w:t>
      </w:r>
      <w:r>
        <w:rPr>
          <w:rFonts w:hint="default" w:ascii="仿宋_GB2312" w:hAnsi="微软雅黑" w:eastAsia="仿宋_GB2312"/>
          <w:color w:val="000000"/>
          <w:sz w:val="32"/>
          <w:szCs w:val="32"/>
          <w:lang w:val="en-US" w:eastAsia="zh-CN"/>
        </w:rPr>
        <w:t>）班长、党</w:t>
      </w:r>
      <w:r>
        <w:rPr>
          <w:rFonts w:hint="eastAsia" w:ascii="仿宋_GB2312" w:hAnsi="微软雅黑" w:eastAsia="仿宋_GB2312"/>
          <w:color w:val="000000"/>
          <w:sz w:val="32"/>
          <w:szCs w:val="32"/>
          <w:lang w:val="en-US" w:eastAsia="zh-CN"/>
        </w:rPr>
        <w:t>支部书记</w:t>
      </w:r>
      <w:r>
        <w:rPr>
          <w:rFonts w:hint="default" w:ascii="仿宋_GB2312" w:hAnsi="微软雅黑" w:eastAsia="仿宋_GB2312"/>
          <w:color w:val="000000"/>
          <w:sz w:val="32"/>
          <w:szCs w:val="32"/>
          <w:lang w:val="en-US" w:eastAsia="zh-CN"/>
        </w:rPr>
        <w:t>、团</w:t>
      </w:r>
      <w:r>
        <w:rPr>
          <w:rFonts w:hint="eastAsia" w:ascii="仿宋_GB2312" w:hAnsi="微软雅黑" w:eastAsia="仿宋_GB2312"/>
          <w:color w:val="000000"/>
          <w:sz w:val="32"/>
          <w:szCs w:val="32"/>
          <w:lang w:val="en-US" w:eastAsia="zh-CN"/>
        </w:rPr>
        <w:t>支部书记、辅导员助理</w:t>
      </w:r>
      <w:r>
        <w:rPr>
          <w:rFonts w:hint="default" w:ascii="仿宋_GB2312" w:hAnsi="微软雅黑" w:eastAsia="仿宋_GB2312"/>
          <w:color w:val="000000"/>
          <w:sz w:val="32"/>
          <w:szCs w:val="32"/>
          <w:lang w:val="en-US" w:eastAsia="zh-CN"/>
        </w:rPr>
        <w:t>加0-6分</w:t>
      </w:r>
      <w:r>
        <w:rPr>
          <w:rFonts w:hint="eastAsia" w:ascii="仿宋_GB2312" w:hAnsi="微软雅黑" w:eastAsia="仿宋_GB2312"/>
          <w:color w:val="000000"/>
          <w:sz w:val="32"/>
          <w:szCs w:val="32"/>
          <w:lang w:val="en-US" w:eastAsia="zh-CN"/>
        </w:rPr>
        <w:t>，其他班委、党支部委员、团支部委员加0-4分，</w:t>
      </w:r>
      <w:r>
        <w:rPr>
          <w:rFonts w:hint="default" w:ascii="仿宋_GB2312" w:hAnsi="微软雅黑" w:eastAsia="仿宋_GB2312"/>
          <w:color w:val="000000"/>
          <w:sz w:val="32"/>
          <w:szCs w:val="32"/>
          <w:lang w:val="en-US" w:eastAsia="zh-CN"/>
        </w:rPr>
        <w:t>单元长加0-3分。</w:t>
      </w:r>
    </w:p>
    <w:p w14:paraId="69ADFADA">
      <w:pPr>
        <w:spacing w:line="560" w:lineRule="exact"/>
        <w:ind w:firstLine="643"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b/>
          <w:bCs/>
          <w:color w:val="FF0000"/>
          <w:sz w:val="32"/>
          <w:szCs w:val="32"/>
          <w:lang w:val="en-US" w:eastAsia="zh-CN"/>
        </w:rPr>
        <w:t>各社团提交的加分表均需负责部门负责老师认定，并应是对社团成员过去一年工作的准确评价，因此成员内部之间的加分情况要有差异。任何部门、社团提供的加分表，如果主席之间、部长之间、部委之间没有差异，学院不予采纳。</w:t>
      </w:r>
    </w:p>
    <w:p w14:paraId="64AF2259">
      <w:pPr>
        <w:spacing w:line="560" w:lineRule="exact"/>
        <w:ind w:firstLine="640" w:firstLineChars="200"/>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三</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扣分项</w:t>
      </w:r>
    </w:p>
    <w:p w14:paraId="1785EF64">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1.因违反《实验室安全管理办法》等有关规定受有关部门批评教育者（有通知备案的），每次扣4分；</w:t>
      </w:r>
    </w:p>
    <w:p w14:paraId="77CD92F4">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.通报批评扣10分；警告处分扣15分；严重警告处分扣25分；记过处分扣35分；受留校察看处分期间扣55分；</w:t>
      </w:r>
    </w:p>
    <w:p w14:paraId="152B853B">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3</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受其他党团纪律处分，参照上述第2款规定扣分</w:t>
      </w:r>
      <w:r>
        <w:rPr>
          <w:rFonts w:hint="default" w:ascii="仿宋_GB2312" w:hAnsi="微软雅黑" w:eastAsia="仿宋_GB2312"/>
          <w:color w:val="000000"/>
          <w:sz w:val="32"/>
          <w:szCs w:val="32"/>
          <w:lang w:val="en-US" w:eastAsia="zh-CN"/>
        </w:rPr>
        <w:t>。</w:t>
      </w:r>
    </w:p>
    <w:p w14:paraId="73C5B921">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4.因受纪律处分而受党团纪律处分的，不重复扣分；</w:t>
      </w:r>
    </w:p>
    <w:p w14:paraId="2400A540">
      <w:pPr>
        <w:spacing w:line="560" w:lineRule="exact"/>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5</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不按时注册扣10分；</w:t>
      </w:r>
    </w:p>
    <w:p w14:paraId="7F4D2A6C">
      <w:pPr>
        <w:spacing w:line="560" w:lineRule="exact"/>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6.无故不参加学校、学院（研究院）、年级以及班级组织的会议、讲座、学术论坛等各项集体活动的，每次扣2分。</w:t>
      </w:r>
    </w:p>
    <w:p w14:paraId="6059B24D">
      <w:pPr>
        <w:spacing w:line="560" w:lineRule="exact"/>
        <w:ind w:firstLine="643" w:firstLineChars="200"/>
        <w:rPr>
          <w:rFonts w:hint="eastAsia" w:ascii="仿宋_GB2312" w:hAnsi="微软雅黑" w:eastAsia="仿宋_GB2312"/>
          <w:b/>
          <w:bCs/>
          <w:color w:val="FF0000"/>
          <w:sz w:val="32"/>
          <w:szCs w:val="32"/>
          <w:lang w:val="en-US" w:eastAsia="zh-CN"/>
        </w:rPr>
      </w:pPr>
      <w:r>
        <w:rPr>
          <w:rFonts w:hint="eastAsia" w:ascii="仿宋_GB2312" w:hAnsi="微软雅黑" w:eastAsia="仿宋_GB2312"/>
          <w:b/>
          <w:bCs/>
          <w:color w:val="FF0000"/>
          <w:sz w:val="32"/>
          <w:szCs w:val="32"/>
          <w:lang w:val="en-US" w:eastAsia="zh-CN"/>
        </w:rPr>
        <w:t>注：1.违反科学道德和学术规范并造成不良影响者，德育成绩按0分计；</w:t>
      </w:r>
    </w:p>
    <w:p w14:paraId="3E0D81A8">
      <w:pPr>
        <w:spacing w:line="560" w:lineRule="exact"/>
        <w:ind w:firstLine="643" w:firstLineChars="200"/>
        <w:rPr>
          <w:rFonts w:hint="default" w:ascii="仿宋_GB2312" w:hAnsi="微软雅黑" w:eastAsia="仿宋_GB2312"/>
          <w:b/>
          <w:bCs/>
          <w:color w:val="FF0000"/>
          <w:sz w:val="32"/>
          <w:szCs w:val="32"/>
          <w:lang w:val="en-US" w:eastAsia="zh-CN"/>
        </w:rPr>
      </w:pPr>
      <w:r>
        <w:rPr>
          <w:rFonts w:hint="eastAsia" w:ascii="仿宋_GB2312" w:hAnsi="微软雅黑" w:eastAsia="仿宋_GB2312"/>
          <w:b/>
          <w:bCs/>
          <w:color w:val="FF0000"/>
          <w:sz w:val="32"/>
          <w:szCs w:val="32"/>
          <w:lang w:val="en-US" w:eastAsia="zh-CN"/>
        </w:rPr>
        <w:t>2.开除党籍、团籍处分，德育成绩按0分计。</w:t>
      </w:r>
    </w:p>
    <w:p w14:paraId="49FF65D8">
      <w:p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四、智育成绩</w:t>
      </w:r>
    </w:p>
    <w:p w14:paraId="1C40B933">
      <w:pPr>
        <w:spacing w:line="560" w:lineRule="exact"/>
        <w:ind w:firstLine="643"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b/>
          <w:bCs/>
          <w:color w:val="000000"/>
          <w:sz w:val="32"/>
          <w:szCs w:val="32"/>
          <w:lang w:val="en-US" w:eastAsia="zh-CN"/>
        </w:rPr>
        <w:t>研究生一年级：</w:t>
      </w:r>
      <w:r>
        <w:rPr>
          <w:rFonts w:hint="eastAsia" w:ascii="仿宋_GB2312" w:hAnsi="微软雅黑" w:eastAsia="仿宋_GB2312"/>
          <w:color w:val="000000"/>
          <w:sz w:val="32"/>
          <w:szCs w:val="32"/>
          <w:lang w:val="en-US" w:eastAsia="zh-CN"/>
        </w:rPr>
        <w:t>智育成绩=智育基础分（85分）+智育加分（15分）</w:t>
      </w:r>
    </w:p>
    <w:p w14:paraId="7CA55EBD">
      <w:pPr>
        <w:spacing w:line="560" w:lineRule="exact"/>
        <w:ind w:firstLine="643"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b/>
          <w:bCs/>
          <w:color w:val="000000"/>
          <w:sz w:val="32"/>
          <w:szCs w:val="32"/>
          <w:lang w:val="en-US" w:eastAsia="zh-CN"/>
        </w:rPr>
        <w:t>研究生二年级及以后：</w:t>
      </w:r>
      <w:r>
        <w:rPr>
          <w:rFonts w:hint="eastAsia" w:ascii="仿宋_GB2312" w:hAnsi="微软雅黑" w:eastAsia="仿宋_GB2312"/>
          <w:color w:val="000000"/>
          <w:sz w:val="32"/>
          <w:szCs w:val="32"/>
          <w:lang w:val="en-US" w:eastAsia="zh-CN"/>
        </w:rPr>
        <w:t>智育成绩=智育基础分（60分）+智育加分（40分）</w:t>
      </w:r>
    </w:p>
    <w:p w14:paraId="335A2FD3">
      <w:pPr>
        <w:numPr>
          <w:ilvl w:val="0"/>
          <w:numId w:val="1"/>
        </w:num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智育基础</w:t>
      </w:r>
      <w:r>
        <w:rPr>
          <w:rFonts w:hint="eastAsia" w:ascii="仿宋_GB2312" w:hAnsi="微软雅黑" w:eastAsia="仿宋_GB2312"/>
          <w:color w:val="000000"/>
          <w:sz w:val="32"/>
          <w:szCs w:val="32"/>
        </w:rPr>
        <w:t>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100分</w:t>
      </w:r>
      <w:r>
        <w:rPr>
          <w:rFonts w:hint="eastAsia" w:ascii="仿宋_GB2312" w:hAnsi="微软雅黑" w:eastAsia="仿宋_GB2312"/>
          <w:color w:val="000000"/>
          <w:sz w:val="32"/>
          <w:szCs w:val="32"/>
          <w:lang w:eastAsia="zh-CN"/>
        </w:rPr>
        <w:t>）</w:t>
      </w:r>
    </w:p>
    <w:p w14:paraId="7C575BBA">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1.研究生一年级</w:t>
      </w:r>
    </w:p>
    <w:p w14:paraId="18A54F53">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考核培养计划中必修课和选修课完成情况，按考试成绩和学分数加权计算。</w:t>
      </w:r>
    </w:p>
    <w:p w14:paraId="097F8BA0">
      <w:pPr>
        <w:spacing w:line="560" w:lineRule="exact"/>
        <w:ind w:firstLine="640" w:firstLineChars="200"/>
        <w:jc w:val="both"/>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rPr>
        <w:t>学习成绩=</w:t>
      </w:r>
      <w:r>
        <w:rPr>
          <w:rFonts w:hint="eastAsia" w:ascii="仿宋_GB2312" w:hAnsi="微软雅黑" w:eastAsia="仿宋_GB2312"/>
          <w:color w:val="000000"/>
          <w:sz w:val="32"/>
          <w:szCs w:val="32"/>
          <w:lang w:val="en-US" w:eastAsia="zh-CN"/>
        </w:rPr>
        <w:t>0.85×（</w:t>
      </w:r>
      <w:r>
        <w:rPr>
          <w:rFonts w:hint="eastAsia" w:ascii="仿宋_GB2312" w:hAnsi="微软雅黑" w:eastAsia="仿宋_GB2312"/>
          <w:color w:val="000000"/>
          <w:sz w:val="32"/>
          <w:szCs w:val="32"/>
        </w:rPr>
        <w:t>0.7×∑</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Ti×Xi</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∑Ti+0.3×∑</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Mi×Yi</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∑Mi</w:t>
      </w:r>
      <w:r>
        <w:rPr>
          <w:rFonts w:hint="eastAsia" w:ascii="仿宋_GB2312" w:hAnsi="微软雅黑" w:eastAsia="仿宋_GB2312"/>
          <w:color w:val="000000"/>
          <w:sz w:val="32"/>
          <w:szCs w:val="32"/>
          <w:lang w:eastAsia="zh-CN"/>
        </w:rPr>
        <w:t>）</w:t>
      </w:r>
    </w:p>
    <w:p w14:paraId="7B1DCCE3">
      <w:p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其中：Ti为培养计划中所列的学位课学分数，Xi为学位课课程成绩，Mi为选修课学分数，Yi为选修课成绩，成绩按百分制计算。</w:t>
      </w:r>
      <w:r>
        <w:rPr>
          <w:rFonts w:hint="eastAsia" w:ascii="仿宋_GB2312" w:hAnsi="微软雅黑" w:eastAsia="仿宋_GB2312"/>
          <w:color w:val="000000"/>
          <w:sz w:val="32"/>
          <w:szCs w:val="32"/>
          <w:lang w:eastAsia="zh-CN"/>
        </w:rPr>
        <w:t>成绩记载为五级制时，参照《中国石油大学（北京）研究生课程学习、考核及成绩管理规定》文件执行；两分制成绩不计入综合测评；缓考课程如开学三周内不能提供成绩的，不计入综合测评。</w:t>
      </w:r>
    </w:p>
    <w:p w14:paraId="55251EA2">
      <w:pPr>
        <w:spacing w:line="560" w:lineRule="exact"/>
        <w:ind w:firstLine="643" w:firstLineChars="200"/>
        <w:jc w:val="both"/>
        <w:rPr>
          <w:rFonts w:hint="eastAsia" w:ascii="仿宋_GB2312" w:hAnsi="微软雅黑" w:eastAsia="仿宋_GB2312"/>
          <w:b/>
          <w:bCs/>
          <w:color w:val="FF0000"/>
          <w:sz w:val="32"/>
          <w:szCs w:val="32"/>
        </w:rPr>
      </w:pPr>
      <w:r>
        <w:rPr>
          <w:rFonts w:hint="eastAsia" w:ascii="仿宋_GB2312" w:hAnsi="微软雅黑" w:eastAsia="仿宋_GB2312"/>
          <w:b/>
          <w:bCs/>
          <w:color w:val="FF0000"/>
          <w:sz w:val="32"/>
          <w:szCs w:val="32"/>
          <w:lang w:val="en-US" w:eastAsia="zh-CN"/>
        </w:rPr>
        <w:t>注</w:t>
      </w:r>
      <w:r>
        <w:rPr>
          <w:rFonts w:hint="eastAsia" w:ascii="仿宋_GB2312" w:hAnsi="微软雅黑" w:eastAsia="仿宋_GB2312"/>
          <w:b/>
          <w:bCs/>
          <w:color w:val="FF0000"/>
          <w:sz w:val="32"/>
          <w:szCs w:val="32"/>
        </w:rPr>
        <w:t>：培养方案内的课程应修而未修或办理缓考等情况，要提前提交《某某课程未修读/办理缓考的说明》，导师签字审核同意，计算综测时，按照实际修读课程计算，如恶意缓考等行为，奖学金降档处理。</w:t>
      </w:r>
    </w:p>
    <w:p w14:paraId="17B79168">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2.研究生二年级及以后</w:t>
      </w:r>
    </w:p>
    <w:p w14:paraId="12B34FD4">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学术学位研究生的中期考核成绩为论文开题环节得分</w:t>
      </w:r>
      <w:r>
        <w:rPr>
          <w:rFonts w:hint="eastAsia" w:ascii="仿宋_GB2312" w:hAnsi="微软雅黑" w:eastAsia="仿宋_GB2312"/>
          <w:color w:val="000000"/>
          <w:sz w:val="32"/>
          <w:szCs w:val="32"/>
          <w:lang w:val="en-US" w:eastAsia="zh-CN"/>
        </w:rPr>
        <w:t>，通过论文开题环节赋60分，不通过赋0分。</w:t>
      </w:r>
    </w:p>
    <w:p w14:paraId="6162322D">
      <w:pPr>
        <w:numPr>
          <w:ilvl w:val="0"/>
          <w:numId w:val="0"/>
        </w:numPr>
        <w:spacing w:line="560" w:lineRule="exact"/>
        <w:ind w:firstLine="640" w:firstLineChars="200"/>
        <w:jc w:val="both"/>
        <w:rPr>
          <w:rFonts w:hint="eastAsia" w:ascii="仿宋_GB2312" w:hAnsi="微软雅黑" w:eastAsia="仿宋_GB2312"/>
          <w:b/>
          <w:bCs/>
          <w:color w:val="FF0000"/>
          <w:sz w:val="32"/>
          <w:szCs w:val="32"/>
        </w:rPr>
      </w:pPr>
      <w:r>
        <w:rPr>
          <w:rFonts w:hint="default" w:ascii="仿宋_GB2312" w:hAnsi="微软雅黑" w:eastAsia="仿宋_GB2312"/>
          <w:color w:val="000000"/>
          <w:sz w:val="32"/>
          <w:szCs w:val="32"/>
          <w:lang w:val="en-US" w:eastAsia="zh-CN"/>
        </w:rPr>
        <w:t>专业学位研究生的中期考核成绩为论文开题环节得分（</w:t>
      </w:r>
      <w:r>
        <w:rPr>
          <w:rFonts w:hint="eastAsia" w:ascii="仿宋_GB2312" w:hAnsi="微软雅黑" w:eastAsia="仿宋_GB2312"/>
          <w:color w:val="000000"/>
          <w:sz w:val="32"/>
          <w:szCs w:val="32"/>
          <w:lang w:val="en-US" w:eastAsia="zh-CN"/>
        </w:rPr>
        <w:t>18</w:t>
      </w:r>
      <w:r>
        <w:rPr>
          <w:rFonts w:hint="default"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专业实践考核得分（</w:t>
      </w:r>
      <w:r>
        <w:rPr>
          <w:rFonts w:hint="eastAsia" w:ascii="仿宋_GB2312" w:hAnsi="微软雅黑" w:eastAsia="仿宋_GB2312"/>
          <w:color w:val="000000"/>
          <w:sz w:val="32"/>
          <w:szCs w:val="32"/>
          <w:lang w:val="en-US" w:eastAsia="zh-CN"/>
        </w:rPr>
        <w:t>18</w:t>
      </w:r>
      <w:r>
        <w:rPr>
          <w:rFonts w:hint="default" w:ascii="仿宋_GB2312" w:hAnsi="微软雅黑" w:eastAsia="仿宋_GB2312"/>
          <w:color w:val="000000"/>
          <w:sz w:val="32"/>
          <w:szCs w:val="32"/>
          <w:lang w:val="en-US" w:eastAsia="zh-CN"/>
        </w:rPr>
        <w:t>%）与中期考核成绩（</w:t>
      </w:r>
      <w:r>
        <w:rPr>
          <w:rFonts w:hint="eastAsia" w:ascii="仿宋_GB2312" w:hAnsi="微软雅黑" w:eastAsia="仿宋_GB2312"/>
          <w:color w:val="000000"/>
          <w:sz w:val="32"/>
          <w:szCs w:val="32"/>
          <w:lang w:val="en-US" w:eastAsia="zh-CN"/>
        </w:rPr>
        <w:t>24</w:t>
      </w:r>
      <w:r>
        <w:rPr>
          <w:rFonts w:hint="default" w:ascii="仿宋_GB2312" w:hAnsi="微软雅黑" w:eastAsia="仿宋_GB2312"/>
          <w:color w:val="000000"/>
          <w:sz w:val="32"/>
          <w:szCs w:val="32"/>
          <w:lang w:val="en-US" w:eastAsia="zh-CN"/>
        </w:rPr>
        <w:t>%）之和，其中，中期考核成绩参照学院中期考核相关文件执行。</w:t>
      </w:r>
    </w:p>
    <w:p w14:paraId="03A449E3">
      <w:pPr>
        <w:spacing w:line="560" w:lineRule="exact"/>
        <w:ind w:firstLine="640" w:firstLineChars="200"/>
        <w:jc w:val="both"/>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rPr>
        <w:t>（二）</w:t>
      </w:r>
      <w:r>
        <w:rPr>
          <w:rFonts w:hint="eastAsia" w:ascii="仿宋_GB2312" w:hAnsi="微软雅黑" w:eastAsia="仿宋_GB2312"/>
          <w:color w:val="000000"/>
          <w:sz w:val="32"/>
          <w:szCs w:val="32"/>
          <w:lang w:val="en-US" w:eastAsia="zh-CN"/>
        </w:rPr>
        <w:t>智育加</w:t>
      </w:r>
      <w:r>
        <w:rPr>
          <w:rFonts w:hint="eastAsia" w:ascii="仿宋_GB2312" w:hAnsi="微软雅黑" w:eastAsia="仿宋_GB2312"/>
          <w:color w:val="000000"/>
          <w:sz w:val="32"/>
          <w:szCs w:val="32"/>
        </w:rPr>
        <w:t>分</w:t>
      </w:r>
    </w:p>
    <w:p w14:paraId="60D23BA3">
      <w:p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1.奖励分由班级综合测评工作小组核定</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研究生一年级加分上限不超过15分，研究生二年级及以后加分上限不超过40分。</w:t>
      </w:r>
    </w:p>
    <w:p w14:paraId="5838240A">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2.</w:t>
      </w:r>
      <w:r>
        <w:rPr>
          <w:rFonts w:hint="eastAsia" w:ascii="仿宋_GB2312" w:hAnsi="微软雅黑" w:eastAsia="仿宋_GB2312"/>
          <w:color w:val="000000"/>
          <w:sz w:val="32"/>
          <w:szCs w:val="32"/>
        </w:rPr>
        <w:t>所有加分项目必须与专业相关且以中国石油大学（北京）或中国石油大学(北京)克拉玛依校区为第一单位，以企业导师所在单位为第一单位的，校区需为参与单位。同一内容的论文或科研成果取单项最高分，不累加。文章录用但未正式发表的，不加分。所有发表的论文或科研成果均需附有复印件，班级综合测评小组审核合格后有效。</w:t>
      </w:r>
    </w:p>
    <w:p w14:paraId="73293828">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3</w:t>
      </w:r>
      <w:r>
        <w:rPr>
          <w:rFonts w:hint="eastAsia" w:ascii="仿宋_GB2312" w:hAnsi="微软雅黑" w:eastAsia="仿宋_GB2312"/>
          <w:color w:val="000000"/>
          <w:sz w:val="32"/>
          <w:szCs w:val="32"/>
        </w:rPr>
        <w:t>.智育奖励分涉及多人排名的加分情况，个人得分计算方法：</w:t>
      </w:r>
    </w:p>
    <w:p w14:paraId="0882B46D">
      <w:pPr>
        <w:spacing w:line="560" w:lineRule="exact"/>
        <w:ind w:firstLine="640" w:firstLineChars="200"/>
        <w:jc w:val="both"/>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1</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团体赛事请填写</w:t>
      </w:r>
      <w:r>
        <w:rPr>
          <w:rFonts w:hint="eastAsia" w:ascii="仿宋_GB2312" w:hAnsi="微软雅黑" w:eastAsia="仿宋_GB2312"/>
          <w:color w:val="000000"/>
          <w:sz w:val="32"/>
          <w:szCs w:val="32"/>
          <w:lang w:eastAsia="zh-CN"/>
        </w:rPr>
        <w:t>《附件1：团队比赛获奖项目赋分表》</w:t>
      </w:r>
      <w:r>
        <w:rPr>
          <w:rFonts w:hint="eastAsia" w:ascii="仿宋_GB2312" w:hAnsi="微软雅黑" w:eastAsia="仿宋_GB2312"/>
          <w:color w:val="000000"/>
          <w:sz w:val="32"/>
          <w:szCs w:val="32"/>
        </w:rPr>
        <w:t>，获奖团队根据个人工作量、分工等自行分配单人所获奖项加分，</w:t>
      </w:r>
      <w:r>
        <w:rPr>
          <w:rFonts w:hint="eastAsia" w:ascii="仿宋_GB2312" w:hAnsi="微软雅黑" w:eastAsia="仿宋_GB2312"/>
          <w:b/>
          <w:bCs/>
          <w:color w:val="FF0000"/>
          <w:sz w:val="32"/>
          <w:szCs w:val="32"/>
          <w:lang w:val="en-US" w:eastAsia="zh-CN"/>
        </w:rPr>
        <w:t>其中</w:t>
      </w:r>
      <w:r>
        <w:rPr>
          <w:rFonts w:hint="eastAsia" w:ascii="仿宋_GB2312" w:hAnsi="微软雅黑" w:eastAsia="仿宋_GB2312"/>
          <w:b/>
          <w:bCs/>
          <w:color w:val="FF0000"/>
          <w:sz w:val="32"/>
          <w:szCs w:val="32"/>
        </w:rPr>
        <w:t>负责人（队长）</w:t>
      </w:r>
      <w:r>
        <w:rPr>
          <w:rFonts w:hint="eastAsia" w:ascii="仿宋_GB2312" w:hAnsi="微软雅黑" w:eastAsia="仿宋_GB2312"/>
          <w:b/>
          <w:bCs/>
          <w:color w:val="FF0000"/>
          <w:sz w:val="32"/>
          <w:szCs w:val="32"/>
          <w:lang w:val="en-US" w:eastAsia="zh-CN"/>
        </w:rPr>
        <w:t>不得超过</w:t>
      </w:r>
      <w:r>
        <w:rPr>
          <w:rFonts w:hint="eastAsia" w:ascii="仿宋_GB2312" w:hAnsi="微软雅黑" w:eastAsia="仿宋_GB2312"/>
          <w:b/>
          <w:bCs/>
          <w:color w:val="FF0000"/>
          <w:sz w:val="32"/>
          <w:szCs w:val="32"/>
        </w:rPr>
        <w:t>最高</w:t>
      </w:r>
      <w:r>
        <w:rPr>
          <w:rFonts w:hint="eastAsia" w:ascii="仿宋_GB2312" w:hAnsi="微软雅黑" w:eastAsia="仿宋_GB2312"/>
          <w:b/>
          <w:bCs/>
          <w:color w:val="FF0000"/>
          <w:sz w:val="32"/>
          <w:szCs w:val="32"/>
          <w:lang w:val="en-US" w:eastAsia="zh-CN"/>
        </w:rPr>
        <w:t>分的</w:t>
      </w:r>
      <w:r>
        <w:rPr>
          <w:rFonts w:hint="eastAsia" w:ascii="仿宋_GB2312" w:hAnsi="微软雅黑" w:eastAsia="仿宋_GB2312"/>
          <w:b/>
          <w:bCs/>
          <w:color w:val="FF0000"/>
          <w:sz w:val="32"/>
          <w:szCs w:val="32"/>
        </w:rPr>
        <w:t>2/3</w:t>
      </w:r>
      <w:r>
        <w:rPr>
          <w:rFonts w:hint="eastAsia" w:ascii="仿宋_GB2312" w:hAnsi="微软雅黑" w:eastAsia="仿宋_GB2312"/>
          <w:b/>
          <w:bCs/>
          <w:color w:val="FF0000"/>
          <w:sz w:val="32"/>
          <w:szCs w:val="32"/>
          <w:lang w:eastAsia="zh-CN"/>
        </w:rPr>
        <w:t>，</w:t>
      </w:r>
      <w:r>
        <w:rPr>
          <w:rFonts w:hint="eastAsia" w:ascii="仿宋_GB2312" w:hAnsi="微软雅黑" w:eastAsia="仿宋_GB2312"/>
          <w:b/>
          <w:bCs/>
          <w:color w:val="FF0000"/>
          <w:sz w:val="32"/>
          <w:szCs w:val="32"/>
          <w:lang w:val="en-US" w:eastAsia="zh-CN"/>
        </w:rPr>
        <w:t>其他成员不得超过</w:t>
      </w:r>
      <w:r>
        <w:rPr>
          <w:rFonts w:hint="eastAsia" w:ascii="仿宋_GB2312" w:hAnsi="微软雅黑" w:eastAsia="仿宋_GB2312"/>
          <w:b/>
          <w:bCs/>
          <w:color w:val="FF0000"/>
          <w:sz w:val="32"/>
          <w:szCs w:val="32"/>
        </w:rPr>
        <w:t>最高</w:t>
      </w:r>
      <w:r>
        <w:rPr>
          <w:rFonts w:hint="eastAsia" w:ascii="仿宋_GB2312" w:hAnsi="微软雅黑" w:eastAsia="仿宋_GB2312"/>
          <w:b/>
          <w:bCs/>
          <w:color w:val="FF0000"/>
          <w:sz w:val="32"/>
          <w:szCs w:val="32"/>
          <w:lang w:val="en-US" w:eastAsia="zh-CN"/>
        </w:rPr>
        <w:t>分的1</w:t>
      </w:r>
      <w:r>
        <w:rPr>
          <w:rFonts w:hint="eastAsia" w:ascii="仿宋_GB2312" w:hAnsi="微软雅黑" w:eastAsia="仿宋_GB2312"/>
          <w:b/>
          <w:bCs/>
          <w:color w:val="FF0000"/>
          <w:sz w:val="32"/>
          <w:szCs w:val="32"/>
        </w:rPr>
        <w:t>/</w:t>
      </w:r>
      <w:r>
        <w:rPr>
          <w:rFonts w:hint="eastAsia" w:ascii="仿宋_GB2312" w:hAnsi="微软雅黑" w:eastAsia="仿宋_GB2312"/>
          <w:b/>
          <w:bCs/>
          <w:color w:val="FF0000"/>
          <w:sz w:val="32"/>
          <w:szCs w:val="32"/>
          <w:lang w:val="en-US" w:eastAsia="zh-CN"/>
        </w:rPr>
        <w:t>2</w:t>
      </w:r>
      <w:r>
        <w:rPr>
          <w:rFonts w:hint="eastAsia" w:ascii="仿宋_GB2312" w:hAnsi="微软雅黑" w:eastAsia="仿宋_GB2312"/>
          <w:color w:val="000000"/>
          <w:sz w:val="32"/>
          <w:szCs w:val="32"/>
          <w:lang w:val="en-US" w:eastAsia="zh-CN"/>
        </w:rPr>
        <w:t>，且</w:t>
      </w:r>
      <w:r>
        <w:rPr>
          <w:rFonts w:hint="eastAsia" w:ascii="仿宋_GB2312" w:hAnsi="微软雅黑" w:eastAsia="仿宋_GB2312"/>
          <w:color w:val="000000"/>
          <w:sz w:val="32"/>
          <w:szCs w:val="32"/>
        </w:rPr>
        <w:t>团队成员总分不得超过所获奖项加分</w:t>
      </w:r>
      <w:r>
        <w:rPr>
          <w:rFonts w:hint="eastAsia" w:ascii="仿宋_GB2312" w:hAnsi="微软雅黑" w:eastAsia="仿宋_GB2312"/>
          <w:color w:val="000000"/>
          <w:sz w:val="32"/>
          <w:szCs w:val="32"/>
          <w:lang w:eastAsia="zh-CN"/>
        </w:rPr>
        <w:t>。涉及到跨校组队，参照执行。</w:t>
      </w:r>
    </w:p>
    <w:p w14:paraId="370105D5">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2</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论文或专利加分请填写《附件2：论文专利加分赋分表》，需由学生本人去</w:t>
      </w:r>
      <w:r>
        <w:rPr>
          <w:rFonts w:hint="eastAsia" w:ascii="仿宋_GB2312" w:hAnsi="微软雅黑" w:eastAsia="仿宋_GB2312"/>
          <w:b/>
          <w:bCs/>
          <w:color w:val="FF0000"/>
          <w:sz w:val="32"/>
          <w:szCs w:val="32"/>
        </w:rPr>
        <w:t>校区图书馆开具检索报告并加盖校区图书馆公章</w:t>
      </w:r>
      <w:r>
        <w:rPr>
          <w:rFonts w:hint="eastAsia" w:ascii="仿宋_GB2312" w:hAnsi="微软雅黑" w:eastAsia="仿宋_GB2312"/>
          <w:b/>
          <w:bCs/>
          <w:color w:val="FF0000"/>
          <w:sz w:val="32"/>
          <w:szCs w:val="32"/>
          <w:lang w:eastAsia="zh-CN"/>
        </w:rPr>
        <w:t>，</w:t>
      </w:r>
      <w:r>
        <w:rPr>
          <w:rFonts w:hint="eastAsia" w:ascii="仿宋_GB2312" w:hAnsi="微软雅黑" w:eastAsia="仿宋_GB2312"/>
          <w:b/>
          <w:bCs/>
          <w:color w:val="FF0000"/>
          <w:sz w:val="32"/>
          <w:szCs w:val="32"/>
          <w:lang w:val="en-US" w:eastAsia="zh-CN"/>
        </w:rPr>
        <w:t>无检索报告的不予认定</w:t>
      </w:r>
      <w:r>
        <w:rPr>
          <w:rFonts w:hint="eastAsia" w:ascii="仿宋_GB2312" w:hAnsi="微软雅黑" w:eastAsia="仿宋_GB2312"/>
          <w:color w:val="000000"/>
          <w:sz w:val="32"/>
          <w:szCs w:val="32"/>
        </w:rPr>
        <w:t>。校内导师(或企业导师)为第一作者、学生为第二作者的，第二作者得分为2/5×所获奖项的加分，其他人员分享1/10×所获奖项的加分（详细加分见附录）。</w:t>
      </w:r>
    </w:p>
    <w:p w14:paraId="63D2272B">
      <w:p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4.论文、专利、学术会议若第一作者为非研究生管理系统内的导师，需提供《附件3：成果非导师一作的说明》。</w:t>
      </w:r>
    </w:p>
    <w:p w14:paraId="2A082923">
      <w:pPr>
        <w:spacing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五、体美劳育成绩</w:t>
      </w:r>
    </w:p>
    <w:p w14:paraId="2A964D2F">
      <w:pPr>
        <w:spacing w:line="56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体美劳成绩（</w:t>
      </w:r>
      <w:r>
        <w:rPr>
          <w:rFonts w:hint="eastAsia" w:ascii="仿宋_GB2312" w:hAnsi="微软雅黑" w:eastAsia="仿宋_GB2312"/>
          <w:color w:val="000000"/>
          <w:sz w:val="32"/>
          <w:szCs w:val="32"/>
        </w:rPr>
        <w:t>100分</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=体美劳基础分（70分）+体美劳加分（30分）-扣分项</w:t>
      </w:r>
    </w:p>
    <w:p w14:paraId="05D2155C">
      <w:pPr>
        <w:numPr>
          <w:ilvl w:val="0"/>
          <w:numId w:val="2"/>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体美劳基础分</w:t>
      </w:r>
    </w:p>
    <w:p w14:paraId="5E2A3B2B">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由班级同学、辅导员共同打分计算，各占50%。打分分A、B、C、D四个等级，分别为70分、65分、60分、55分。主要从以下七个方面表现进行综合评价，每项各占10分：</w:t>
      </w:r>
    </w:p>
    <w:p w14:paraId="39A36538">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w:t>
      </w:r>
      <w:r>
        <w:rPr>
          <w:rFonts w:hint="eastAsia" w:ascii="仿宋_GB2312" w:hAnsi="微软雅黑" w:eastAsia="仿宋_GB2312"/>
          <w:color w:val="000000"/>
          <w:sz w:val="32"/>
          <w:szCs w:val="32"/>
          <w:lang w:val="en-US" w:eastAsia="zh-CN"/>
        </w:rPr>
        <w:t>有良好的锻炼习惯和生活方式</w:t>
      </w:r>
      <w:r>
        <w:rPr>
          <w:rFonts w:hint="default" w:ascii="仿宋_GB2312" w:hAnsi="微软雅黑" w:eastAsia="仿宋_GB2312"/>
          <w:color w:val="000000"/>
          <w:sz w:val="32"/>
          <w:szCs w:val="32"/>
          <w:lang w:val="en-US" w:eastAsia="zh-CN"/>
        </w:rPr>
        <w:t>；</w:t>
      </w:r>
    </w:p>
    <w:p w14:paraId="4D31A868">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2.积极参加校、院</w:t>
      </w:r>
      <w:r>
        <w:rPr>
          <w:rFonts w:hint="eastAsia" w:ascii="仿宋_GB2312" w:hAnsi="微软雅黑" w:eastAsia="仿宋_GB2312"/>
          <w:color w:val="000000"/>
          <w:sz w:val="32"/>
          <w:szCs w:val="32"/>
          <w:lang w:val="en-US" w:eastAsia="zh-CN"/>
        </w:rPr>
        <w:t>、</w:t>
      </w:r>
      <w:r>
        <w:rPr>
          <w:rFonts w:hint="default" w:ascii="仿宋_GB2312" w:hAnsi="微软雅黑" w:eastAsia="仿宋_GB2312"/>
          <w:color w:val="000000"/>
          <w:sz w:val="32"/>
          <w:szCs w:val="32"/>
          <w:lang w:val="en-US" w:eastAsia="zh-CN"/>
        </w:rPr>
        <w:t>班级</w:t>
      </w:r>
      <w:r>
        <w:rPr>
          <w:rFonts w:hint="eastAsia" w:ascii="仿宋_GB2312" w:hAnsi="微软雅黑" w:eastAsia="仿宋_GB2312"/>
          <w:color w:val="000000"/>
          <w:sz w:val="32"/>
          <w:szCs w:val="32"/>
          <w:lang w:val="en-US" w:eastAsia="zh-CN"/>
        </w:rPr>
        <w:t>或所在单位等</w:t>
      </w:r>
      <w:r>
        <w:rPr>
          <w:rFonts w:hint="default" w:ascii="仿宋_GB2312" w:hAnsi="微软雅黑" w:eastAsia="仿宋_GB2312"/>
          <w:color w:val="000000"/>
          <w:sz w:val="32"/>
          <w:szCs w:val="32"/>
          <w:lang w:val="en-US" w:eastAsia="zh-CN"/>
        </w:rPr>
        <w:t>组织的</w:t>
      </w:r>
      <w:r>
        <w:rPr>
          <w:rFonts w:hint="eastAsia" w:ascii="仿宋_GB2312" w:hAnsi="微软雅黑" w:eastAsia="仿宋_GB2312"/>
          <w:color w:val="000000"/>
          <w:sz w:val="32"/>
          <w:szCs w:val="32"/>
          <w:lang w:val="en-US" w:eastAsia="zh-CN"/>
        </w:rPr>
        <w:t>体育</w:t>
      </w:r>
      <w:r>
        <w:rPr>
          <w:rFonts w:hint="default" w:ascii="仿宋_GB2312" w:hAnsi="微软雅黑" w:eastAsia="仿宋_GB2312"/>
          <w:color w:val="000000"/>
          <w:sz w:val="32"/>
          <w:szCs w:val="32"/>
          <w:lang w:val="en-US" w:eastAsia="zh-CN"/>
        </w:rPr>
        <w:t>活动</w:t>
      </w:r>
      <w:r>
        <w:rPr>
          <w:rFonts w:hint="eastAsia" w:ascii="仿宋_GB2312" w:hAnsi="微软雅黑" w:eastAsia="仿宋_GB2312"/>
          <w:color w:val="000000"/>
          <w:sz w:val="32"/>
          <w:szCs w:val="32"/>
          <w:lang w:val="en-US" w:eastAsia="zh-CN"/>
        </w:rPr>
        <w:t>，做到科研学习和体育运动协调发展；</w:t>
      </w:r>
    </w:p>
    <w:p w14:paraId="234C937A">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3.有一定的审美情操，善于发现和诠释生活之美；</w:t>
      </w:r>
    </w:p>
    <w:p w14:paraId="6BB04483">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4.积极参加各类文化艺术活动，丰富审美鉴赏体验；</w:t>
      </w:r>
    </w:p>
    <w:p w14:paraId="6812EBDE">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5.有较好的劳动习惯和劳动观念，积极参加宿舍卫生清扫；</w:t>
      </w:r>
    </w:p>
    <w:p w14:paraId="17391039">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6.积极参加校、院、班级或所在单位等</w:t>
      </w:r>
      <w:r>
        <w:rPr>
          <w:rFonts w:hint="default" w:ascii="仿宋_GB2312" w:hAnsi="微软雅黑" w:eastAsia="仿宋_GB2312"/>
          <w:color w:val="000000"/>
          <w:sz w:val="32"/>
          <w:szCs w:val="32"/>
          <w:lang w:val="en-US" w:eastAsia="zh-CN"/>
        </w:rPr>
        <w:t>组织的</w:t>
      </w:r>
      <w:r>
        <w:rPr>
          <w:rFonts w:hint="eastAsia" w:ascii="仿宋_GB2312" w:hAnsi="微软雅黑" w:eastAsia="仿宋_GB2312"/>
          <w:color w:val="000000"/>
          <w:sz w:val="32"/>
          <w:szCs w:val="32"/>
          <w:lang w:val="en-US" w:eastAsia="zh-CN"/>
        </w:rPr>
        <w:t>各类校园劳动实践</w:t>
      </w:r>
      <w:r>
        <w:rPr>
          <w:rFonts w:hint="default" w:ascii="仿宋_GB2312" w:hAnsi="微软雅黑" w:eastAsia="仿宋_GB2312"/>
          <w:color w:val="000000"/>
          <w:sz w:val="32"/>
          <w:szCs w:val="32"/>
          <w:lang w:val="en-US" w:eastAsia="zh-CN"/>
        </w:rPr>
        <w:t>活动</w:t>
      </w:r>
      <w:r>
        <w:rPr>
          <w:rFonts w:hint="eastAsia" w:ascii="仿宋_GB2312" w:hAnsi="微软雅黑" w:eastAsia="仿宋_GB2312"/>
          <w:color w:val="000000"/>
          <w:sz w:val="32"/>
          <w:szCs w:val="32"/>
          <w:lang w:val="en-US" w:eastAsia="zh-CN"/>
        </w:rPr>
        <w:t>；</w:t>
      </w:r>
    </w:p>
    <w:p w14:paraId="25011390">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7.践行“奉献、友爱、互助、进步”的青年志愿者精神，积极参加校、院、班级或所在单位等</w:t>
      </w:r>
      <w:r>
        <w:rPr>
          <w:rFonts w:hint="default" w:ascii="仿宋_GB2312" w:hAnsi="微软雅黑" w:eastAsia="仿宋_GB2312"/>
          <w:color w:val="000000"/>
          <w:sz w:val="32"/>
          <w:szCs w:val="32"/>
          <w:lang w:val="en-US" w:eastAsia="zh-CN"/>
        </w:rPr>
        <w:t>组织的</w:t>
      </w:r>
      <w:r>
        <w:rPr>
          <w:rFonts w:hint="eastAsia" w:ascii="仿宋_GB2312" w:hAnsi="微软雅黑" w:eastAsia="仿宋_GB2312"/>
          <w:color w:val="000000"/>
          <w:sz w:val="32"/>
          <w:szCs w:val="32"/>
          <w:lang w:val="en-US" w:eastAsia="zh-CN"/>
        </w:rPr>
        <w:t>各类志愿服务</w:t>
      </w:r>
      <w:r>
        <w:rPr>
          <w:rFonts w:hint="default" w:ascii="仿宋_GB2312" w:hAnsi="微软雅黑" w:eastAsia="仿宋_GB2312"/>
          <w:color w:val="000000"/>
          <w:sz w:val="32"/>
          <w:szCs w:val="32"/>
          <w:lang w:val="en-US" w:eastAsia="zh-CN"/>
        </w:rPr>
        <w:t>活动</w:t>
      </w:r>
      <w:r>
        <w:rPr>
          <w:rFonts w:hint="eastAsia" w:ascii="仿宋_GB2312" w:hAnsi="微软雅黑" w:eastAsia="仿宋_GB2312"/>
          <w:color w:val="000000"/>
          <w:sz w:val="32"/>
          <w:szCs w:val="32"/>
          <w:lang w:val="en-US" w:eastAsia="zh-CN"/>
        </w:rPr>
        <w:t>。</w:t>
      </w:r>
    </w:p>
    <w:p w14:paraId="3994A26C">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（二）</w:t>
      </w:r>
      <w:r>
        <w:rPr>
          <w:rFonts w:hint="eastAsia" w:ascii="仿宋_GB2312" w:hAnsi="微软雅黑" w:eastAsia="仿宋_GB2312"/>
          <w:color w:val="000000"/>
          <w:sz w:val="32"/>
          <w:szCs w:val="32"/>
          <w:lang w:val="en-US" w:eastAsia="zh-CN"/>
        </w:rPr>
        <w:t>体美劳加</w:t>
      </w:r>
      <w:r>
        <w:rPr>
          <w:rFonts w:hint="default" w:ascii="仿宋_GB2312" w:hAnsi="微软雅黑" w:eastAsia="仿宋_GB2312"/>
          <w:color w:val="000000"/>
          <w:sz w:val="32"/>
          <w:szCs w:val="32"/>
          <w:lang w:val="en-US" w:eastAsia="zh-CN"/>
        </w:rPr>
        <w:t>分</w:t>
      </w:r>
    </w:p>
    <w:p w14:paraId="338EE976">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由综合测评工作小组核定，包括各类体育赛事及文化艺术相关比赛、志愿服务、社会实践获奖等，各项分值可累加，上限不超过30分。</w:t>
      </w:r>
      <w:r>
        <w:rPr>
          <w:rFonts w:hint="eastAsia" w:ascii="仿宋_GB2312" w:hAnsi="微软雅黑" w:eastAsia="仿宋_GB2312"/>
          <w:color w:val="000000"/>
          <w:sz w:val="32"/>
          <w:szCs w:val="32"/>
          <w:lang w:val="en-US" w:eastAsia="zh-CN"/>
        </w:rPr>
        <w:t>加分细则如下：</w:t>
      </w:r>
    </w:p>
    <w:p w14:paraId="7721BE1B">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default" w:ascii="仿宋_GB2312" w:hAnsi="微软雅黑" w:eastAsia="仿宋_GB2312"/>
          <w:color w:val="000000"/>
          <w:sz w:val="32"/>
          <w:szCs w:val="32"/>
          <w:lang w:val="en-US" w:eastAsia="zh-CN"/>
        </w:rPr>
        <w:t>1.体育赛事及文化艺术相关比赛加分说明</w:t>
      </w:r>
    </w:p>
    <w:p w14:paraId="189DCFA7">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（1）体美劳</w:t>
      </w:r>
      <w:r>
        <w:rPr>
          <w:rFonts w:hint="default" w:ascii="仿宋_GB2312" w:hAnsi="微软雅黑" w:eastAsia="仿宋_GB2312"/>
          <w:color w:val="000000"/>
          <w:sz w:val="32"/>
          <w:szCs w:val="32"/>
          <w:lang w:val="en-US" w:eastAsia="zh-CN"/>
        </w:rPr>
        <w:t>加分项主要依据校机关和体育系组织的校区级及以上活动加分，各类兴趣类社团活动不加分。</w:t>
      </w:r>
    </w:p>
    <w:p w14:paraId="1B1CAE73">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加分项目分成文艺、体育两类，其中文艺包括所有歌舞、书法绘画、摄影、视频制作等文化艺术相关的比赛，体育包括所有球类、体操、田径等相关的体育活动类比赛。</w:t>
      </w:r>
    </w:p>
    <w:p w14:paraId="31E6971C">
      <w:pPr>
        <w:numPr>
          <w:ilvl w:val="0"/>
          <w:numId w:val="0"/>
        </w:numPr>
        <w:spacing w:line="560" w:lineRule="exact"/>
        <w:ind w:firstLine="640" w:firstLineChars="200"/>
        <w:jc w:val="both"/>
        <w:rPr>
          <w:rFonts w:hint="default" w:ascii="仿宋_GB2312" w:hAnsi="微软雅黑" w:eastAsia="仿宋_GB2312"/>
          <w:b w:val="0"/>
          <w:bCs w:val="0"/>
          <w:color w:val="auto"/>
          <w:sz w:val="32"/>
          <w:szCs w:val="32"/>
          <w:lang w:val="en-US" w:eastAsia="zh-CN"/>
        </w:rPr>
      </w:pPr>
      <w:r>
        <w:rPr>
          <w:rFonts w:hint="eastAsia" w:ascii="仿宋_GB2312" w:hAnsi="微软雅黑" w:eastAsia="仿宋_GB2312"/>
          <w:b w:val="0"/>
          <w:bCs w:val="0"/>
          <w:color w:val="auto"/>
          <w:sz w:val="32"/>
          <w:szCs w:val="32"/>
          <w:lang w:val="en-US" w:eastAsia="zh-CN"/>
        </w:rPr>
        <w:t>注：</w:t>
      </w:r>
      <w:r>
        <w:rPr>
          <w:rFonts w:hint="default" w:ascii="仿宋_GB2312" w:hAnsi="微软雅黑" w:eastAsia="仿宋_GB2312"/>
          <w:b w:val="0"/>
          <w:bCs w:val="0"/>
          <w:color w:val="auto"/>
          <w:sz w:val="32"/>
          <w:szCs w:val="32"/>
          <w:lang w:val="en-US" w:eastAsia="zh-CN"/>
        </w:rPr>
        <w:t>除学校组织的运动会，其余体育比赛均需体育系或者校区团委等相关负责部门认定后才可按照综合测评办法加分。</w:t>
      </w:r>
      <w:r>
        <w:rPr>
          <w:rFonts w:hint="default" w:ascii="仿宋_GB2312" w:hAnsi="微软雅黑" w:eastAsia="仿宋_GB2312"/>
          <w:b/>
          <w:bCs/>
          <w:color w:val="FF0000"/>
          <w:sz w:val="32"/>
          <w:szCs w:val="32"/>
          <w:lang w:val="en-US" w:eastAsia="zh-CN"/>
        </w:rPr>
        <w:t>体育加分比赛中，最多有一项球类运动</w:t>
      </w:r>
      <w:r>
        <w:rPr>
          <w:rFonts w:hint="eastAsia" w:ascii="仿宋_GB2312" w:hAnsi="微软雅黑" w:eastAsia="仿宋_GB2312"/>
          <w:b/>
          <w:bCs/>
          <w:color w:val="FF0000"/>
          <w:sz w:val="32"/>
          <w:szCs w:val="32"/>
          <w:lang w:val="en-US" w:eastAsia="zh-CN"/>
        </w:rPr>
        <w:t>。</w:t>
      </w:r>
    </w:p>
    <w:p w14:paraId="2C9E9EDE">
      <w:pPr>
        <w:numPr>
          <w:ilvl w:val="0"/>
          <w:numId w:val="3"/>
        </w:numPr>
        <w:spacing w:line="560" w:lineRule="exact"/>
        <w:ind w:firstLine="640" w:firstLineChars="200"/>
        <w:jc w:val="both"/>
        <w:rPr>
          <w:rFonts w:hint="default" w:ascii="仿宋_GB2312" w:hAnsi="微软雅黑" w:eastAsia="仿宋_GB2312"/>
          <w:b w:val="0"/>
          <w:bCs w:val="0"/>
          <w:color w:val="auto"/>
          <w:sz w:val="32"/>
          <w:szCs w:val="32"/>
          <w:lang w:val="en-US" w:eastAsia="zh-CN"/>
        </w:rPr>
      </w:pPr>
      <w:r>
        <w:rPr>
          <w:rFonts w:hint="default" w:ascii="仿宋_GB2312" w:hAnsi="微软雅黑" w:eastAsia="仿宋_GB2312"/>
          <w:b w:val="0"/>
          <w:bCs w:val="0"/>
          <w:color w:val="auto"/>
          <w:sz w:val="32"/>
          <w:szCs w:val="32"/>
          <w:lang w:val="en-US" w:eastAsia="zh-CN"/>
        </w:rPr>
        <w:t>参加文艺活动及体育比赛获得名次者按</w:t>
      </w:r>
      <w:r>
        <w:rPr>
          <w:rFonts w:hint="eastAsia" w:ascii="仿宋_GB2312" w:hAnsi="微软雅黑" w:eastAsia="仿宋_GB2312"/>
          <w:b w:val="0"/>
          <w:bCs w:val="0"/>
          <w:color w:val="auto"/>
          <w:sz w:val="32"/>
          <w:szCs w:val="32"/>
          <w:lang w:val="en-US" w:eastAsia="zh-CN"/>
        </w:rPr>
        <w:t>下表</w:t>
      </w:r>
      <w:r>
        <w:rPr>
          <w:rFonts w:hint="default" w:ascii="仿宋_GB2312" w:hAnsi="微软雅黑" w:eastAsia="仿宋_GB2312"/>
          <w:b w:val="0"/>
          <w:bCs w:val="0"/>
          <w:color w:val="auto"/>
          <w:sz w:val="32"/>
          <w:szCs w:val="32"/>
          <w:lang w:val="en-US" w:eastAsia="zh-CN"/>
        </w:rPr>
        <w:t>加分</w:t>
      </w:r>
      <w:r>
        <w:rPr>
          <w:rFonts w:hint="eastAsia" w:ascii="仿宋_GB2312" w:hAnsi="微软雅黑" w:eastAsia="仿宋_GB2312"/>
          <w:b w:val="0"/>
          <w:bCs w:val="0"/>
          <w:color w:val="auto"/>
          <w:sz w:val="32"/>
          <w:szCs w:val="32"/>
          <w:lang w:val="en-US" w:eastAsia="zh-CN"/>
        </w:rPr>
        <w:t>（</w:t>
      </w:r>
      <w:r>
        <w:rPr>
          <w:rFonts w:hint="default" w:ascii="仿宋_GB2312" w:hAnsi="微软雅黑" w:eastAsia="仿宋_GB2312"/>
          <w:b/>
          <w:bCs/>
          <w:color w:val="FF0000"/>
          <w:sz w:val="32"/>
          <w:szCs w:val="32"/>
          <w:lang w:val="en-US" w:eastAsia="zh-CN"/>
        </w:rPr>
        <w:t>集体项目队员按照奖励分的2/3加分</w:t>
      </w:r>
      <w:r>
        <w:rPr>
          <w:rFonts w:hint="eastAsia" w:ascii="仿宋_GB2312" w:hAnsi="微软雅黑" w:eastAsia="仿宋_GB2312"/>
          <w:b w:val="0"/>
          <w:bCs w:val="0"/>
          <w:color w:val="auto"/>
          <w:sz w:val="32"/>
          <w:szCs w:val="32"/>
          <w:lang w:val="en-US" w:eastAsia="zh-CN"/>
        </w:rPr>
        <w:t>）</w:t>
      </w:r>
      <w:r>
        <w:rPr>
          <w:rFonts w:hint="default" w:ascii="仿宋_GB2312" w:hAnsi="微软雅黑" w:eastAsia="仿宋_GB2312"/>
          <w:b w:val="0"/>
          <w:bCs w:val="0"/>
          <w:color w:val="auto"/>
          <w:sz w:val="32"/>
          <w:szCs w:val="32"/>
          <w:lang w:val="en-US" w:eastAsia="zh-CN"/>
        </w:rPr>
        <w:t>。</w:t>
      </w:r>
      <w:r>
        <w:rPr>
          <w:rFonts w:ascii="仿宋" w:hAnsi="仿宋" w:eastAsia="仿宋"/>
          <w:color w:val="auto"/>
          <w:sz w:val="32"/>
          <w:szCs w:val="32"/>
        </w:rPr>
        <w:t>每人</w:t>
      </w:r>
      <w:r>
        <w:rPr>
          <w:rFonts w:hint="eastAsia" w:ascii="仿宋" w:hAnsi="仿宋" w:eastAsia="仿宋"/>
          <w:color w:val="auto"/>
          <w:sz w:val="32"/>
          <w:szCs w:val="32"/>
        </w:rPr>
        <w:t>获多个奖项的可累加，院级赛事在校级分值上按1</w:t>
      </w:r>
      <w:r>
        <w:rPr>
          <w:rFonts w:ascii="仿宋" w:hAnsi="仿宋" w:eastAsia="仿宋"/>
          <w:color w:val="auto"/>
          <w:sz w:val="32"/>
          <w:szCs w:val="32"/>
        </w:rPr>
        <w:t>/</w:t>
      </w:r>
      <w:r>
        <w:rPr>
          <w:rFonts w:hint="eastAsia" w:ascii="仿宋" w:hAnsi="仿宋" w:eastAsia="仿宋"/>
          <w:color w:val="auto"/>
          <w:sz w:val="32"/>
          <w:szCs w:val="32"/>
        </w:rPr>
        <w:t>2</w:t>
      </w:r>
      <w:r>
        <w:rPr>
          <w:rFonts w:ascii="仿宋" w:hAnsi="仿宋" w:eastAsia="仿宋"/>
          <w:color w:val="auto"/>
          <w:sz w:val="32"/>
          <w:szCs w:val="32"/>
        </w:rPr>
        <w:t>折算。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09"/>
        <w:gridCol w:w="1509"/>
        <w:gridCol w:w="1509"/>
        <w:gridCol w:w="1510"/>
        <w:gridCol w:w="1510"/>
      </w:tblGrid>
      <w:tr w14:paraId="3DA5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509" w:type="dxa"/>
            <w:tcBorders>
              <w:tl2br w:val="single" w:color="auto" w:sz="4" w:space="0"/>
            </w:tcBorders>
            <w:vAlign w:val="center"/>
          </w:tcPr>
          <w:p w14:paraId="46E6CBAF">
            <w:pPr>
              <w:numPr>
                <w:ilvl w:val="0"/>
                <w:numId w:val="0"/>
              </w:num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 xml:space="preserve">    名次</w:t>
            </w:r>
          </w:p>
          <w:p w14:paraId="38C3167F">
            <w:pPr>
              <w:numPr>
                <w:ilvl w:val="0"/>
                <w:numId w:val="0"/>
              </w:numPr>
              <w:spacing w:line="560" w:lineRule="exact"/>
              <w:jc w:val="left"/>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级别</w:t>
            </w:r>
          </w:p>
        </w:tc>
        <w:tc>
          <w:tcPr>
            <w:tcW w:w="1509" w:type="dxa"/>
            <w:vAlign w:val="center"/>
          </w:tcPr>
          <w:p w14:paraId="426E59DD">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一、二名</w:t>
            </w:r>
          </w:p>
        </w:tc>
        <w:tc>
          <w:tcPr>
            <w:tcW w:w="1509" w:type="dxa"/>
            <w:vAlign w:val="center"/>
          </w:tcPr>
          <w:p w14:paraId="63B665ED">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三、四名</w:t>
            </w:r>
          </w:p>
        </w:tc>
        <w:tc>
          <w:tcPr>
            <w:tcW w:w="1509" w:type="dxa"/>
            <w:vAlign w:val="center"/>
          </w:tcPr>
          <w:p w14:paraId="364B5FB0">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五、六名</w:t>
            </w:r>
          </w:p>
        </w:tc>
        <w:tc>
          <w:tcPr>
            <w:tcW w:w="1510" w:type="dxa"/>
            <w:vAlign w:val="center"/>
          </w:tcPr>
          <w:p w14:paraId="6FF1B3D3">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七、八名</w:t>
            </w:r>
          </w:p>
        </w:tc>
        <w:tc>
          <w:tcPr>
            <w:tcW w:w="1510" w:type="dxa"/>
            <w:vAlign w:val="center"/>
          </w:tcPr>
          <w:p w14:paraId="4F7BA2F8">
            <w:pPr>
              <w:numPr>
                <w:ilvl w:val="0"/>
                <w:numId w:val="0"/>
              </w:num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参与</w:t>
            </w:r>
          </w:p>
        </w:tc>
      </w:tr>
      <w:tr w14:paraId="4ABD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14:paraId="2D5C15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ascii="仿宋" w:hAnsi="仿宋" w:eastAsia="仿宋" w:cs="仿宋"/>
                <w:i w:val="0"/>
                <w:iCs w:val="0"/>
                <w:caps w:val="0"/>
                <w:color w:val="333333"/>
                <w:spacing w:val="0"/>
                <w:sz w:val="30"/>
                <w:szCs w:val="30"/>
              </w:rPr>
              <w:t>国家级</w:t>
            </w:r>
          </w:p>
        </w:tc>
        <w:tc>
          <w:tcPr>
            <w:tcW w:w="1509" w:type="dxa"/>
            <w:vAlign w:val="center"/>
          </w:tcPr>
          <w:p w14:paraId="72926F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30</w:t>
            </w:r>
          </w:p>
        </w:tc>
        <w:tc>
          <w:tcPr>
            <w:tcW w:w="1509" w:type="dxa"/>
            <w:vAlign w:val="center"/>
          </w:tcPr>
          <w:p w14:paraId="7E9BDC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20</w:t>
            </w:r>
          </w:p>
        </w:tc>
        <w:tc>
          <w:tcPr>
            <w:tcW w:w="1509" w:type="dxa"/>
            <w:vAlign w:val="center"/>
          </w:tcPr>
          <w:p w14:paraId="62D087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15</w:t>
            </w:r>
          </w:p>
        </w:tc>
        <w:tc>
          <w:tcPr>
            <w:tcW w:w="1510" w:type="dxa"/>
            <w:vAlign w:val="center"/>
          </w:tcPr>
          <w:p w14:paraId="0163D1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10</w:t>
            </w:r>
          </w:p>
        </w:tc>
        <w:tc>
          <w:tcPr>
            <w:tcW w:w="1510" w:type="dxa"/>
            <w:vAlign w:val="center"/>
          </w:tcPr>
          <w:p w14:paraId="2C65B7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eastAsia" w:ascii="仿宋" w:hAnsi="仿宋" w:eastAsia="仿宋" w:cs="仿宋"/>
                <w:i w:val="0"/>
                <w:iCs w:val="0"/>
                <w:caps w:val="0"/>
                <w:color w:val="333333"/>
                <w:spacing w:val="0"/>
                <w:sz w:val="30"/>
                <w:szCs w:val="30"/>
                <w:lang w:val="en-US" w:eastAsia="zh-CN"/>
              </w:rPr>
            </w:pPr>
            <w:r>
              <w:rPr>
                <w:rFonts w:hint="eastAsia" w:ascii="仿宋" w:hAnsi="仿宋" w:eastAsia="仿宋" w:cs="仿宋"/>
                <w:i w:val="0"/>
                <w:iCs w:val="0"/>
                <w:caps w:val="0"/>
                <w:color w:val="333333"/>
                <w:spacing w:val="0"/>
                <w:sz w:val="30"/>
                <w:szCs w:val="30"/>
                <w:lang w:val="en-US" w:eastAsia="zh-CN"/>
              </w:rPr>
              <w:t>5</w:t>
            </w:r>
          </w:p>
        </w:tc>
      </w:tr>
      <w:tr w14:paraId="73E3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14:paraId="0AA420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省部级</w:t>
            </w:r>
          </w:p>
        </w:tc>
        <w:tc>
          <w:tcPr>
            <w:tcW w:w="1509" w:type="dxa"/>
            <w:vAlign w:val="center"/>
          </w:tcPr>
          <w:p w14:paraId="26E8A9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20</w:t>
            </w:r>
          </w:p>
        </w:tc>
        <w:tc>
          <w:tcPr>
            <w:tcW w:w="1509" w:type="dxa"/>
            <w:vAlign w:val="center"/>
          </w:tcPr>
          <w:p w14:paraId="0CD7E0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15</w:t>
            </w:r>
          </w:p>
        </w:tc>
        <w:tc>
          <w:tcPr>
            <w:tcW w:w="1509" w:type="dxa"/>
            <w:vAlign w:val="center"/>
          </w:tcPr>
          <w:p w14:paraId="16EF6B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10</w:t>
            </w:r>
          </w:p>
        </w:tc>
        <w:tc>
          <w:tcPr>
            <w:tcW w:w="1510" w:type="dxa"/>
            <w:vAlign w:val="center"/>
          </w:tcPr>
          <w:p w14:paraId="330FB5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5</w:t>
            </w:r>
          </w:p>
        </w:tc>
        <w:tc>
          <w:tcPr>
            <w:tcW w:w="1510" w:type="dxa"/>
            <w:vAlign w:val="center"/>
          </w:tcPr>
          <w:p w14:paraId="7862CC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eastAsia" w:ascii="仿宋" w:hAnsi="仿宋" w:eastAsia="仿宋" w:cs="仿宋"/>
                <w:i w:val="0"/>
                <w:iCs w:val="0"/>
                <w:caps w:val="0"/>
                <w:color w:val="333333"/>
                <w:spacing w:val="0"/>
                <w:sz w:val="30"/>
                <w:szCs w:val="30"/>
                <w:lang w:val="en-US" w:eastAsia="zh-CN"/>
              </w:rPr>
            </w:pPr>
            <w:r>
              <w:rPr>
                <w:rFonts w:hint="eastAsia" w:ascii="仿宋" w:hAnsi="仿宋" w:eastAsia="仿宋" w:cs="仿宋"/>
                <w:i w:val="0"/>
                <w:iCs w:val="0"/>
                <w:caps w:val="0"/>
                <w:color w:val="333333"/>
                <w:spacing w:val="0"/>
                <w:sz w:val="30"/>
                <w:szCs w:val="30"/>
                <w:lang w:val="en-US" w:eastAsia="zh-CN"/>
              </w:rPr>
              <w:t>3</w:t>
            </w:r>
          </w:p>
        </w:tc>
      </w:tr>
      <w:tr w14:paraId="2211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14:paraId="06D3B3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校级</w:t>
            </w:r>
          </w:p>
        </w:tc>
        <w:tc>
          <w:tcPr>
            <w:tcW w:w="1509" w:type="dxa"/>
            <w:vAlign w:val="center"/>
          </w:tcPr>
          <w:p w14:paraId="46C3F1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8</w:t>
            </w:r>
          </w:p>
        </w:tc>
        <w:tc>
          <w:tcPr>
            <w:tcW w:w="1509" w:type="dxa"/>
            <w:vAlign w:val="center"/>
          </w:tcPr>
          <w:p w14:paraId="392FEF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6</w:t>
            </w:r>
          </w:p>
        </w:tc>
        <w:tc>
          <w:tcPr>
            <w:tcW w:w="1509" w:type="dxa"/>
            <w:vAlign w:val="center"/>
          </w:tcPr>
          <w:p w14:paraId="1BE158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4</w:t>
            </w:r>
          </w:p>
        </w:tc>
        <w:tc>
          <w:tcPr>
            <w:tcW w:w="1510" w:type="dxa"/>
            <w:vAlign w:val="center"/>
          </w:tcPr>
          <w:p w14:paraId="4DCF6B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default" w:ascii="仿宋_GB2312" w:hAnsi="微软雅黑" w:eastAsia="仿宋_GB2312"/>
                <w:color w:val="000000"/>
                <w:sz w:val="30"/>
                <w:szCs w:val="30"/>
                <w:vertAlign w:val="baseline"/>
                <w:lang w:val="en-US" w:eastAsia="zh-CN"/>
              </w:rPr>
            </w:pPr>
            <w:r>
              <w:rPr>
                <w:rFonts w:hint="eastAsia" w:ascii="仿宋" w:hAnsi="仿宋" w:eastAsia="仿宋" w:cs="仿宋"/>
                <w:i w:val="0"/>
                <w:iCs w:val="0"/>
                <w:caps w:val="0"/>
                <w:color w:val="333333"/>
                <w:spacing w:val="0"/>
                <w:sz w:val="30"/>
                <w:szCs w:val="30"/>
              </w:rPr>
              <w:t>2</w:t>
            </w:r>
          </w:p>
        </w:tc>
        <w:tc>
          <w:tcPr>
            <w:tcW w:w="1510" w:type="dxa"/>
            <w:vAlign w:val="center"/>
          </w:tcPr>
          <w:p w14:paraId="0C96F2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15" w:firstLineChars="0"/>
              <w:jc w:val="center"/>
              <w:rPr>
                <w:rFonts w:hint="eastAsia" w:ascii="仿宋" w:hAnsi="仿宋" w:eastAsia="仿宋" w:cs="仿宋"/>
                <w:i w:val="0"/>
                <w:iCs w:val="0"/>
                <w:caps w:val="0"/>
                <w:color w:val="333333"/>
                <w:spacing w:val="0"/>
                <w:sz w:val="30"/>
                <w:szCs w:val="30"/>
                <w:lang w:val="en-US" w:eastAsia="zh-CN"/>
              </w:rPr>
            </w:pPr>
            <w:r>
              <w:rPr>
                <w:rFonts w:hint="eastAsia" w:ascii="仿宋" w:hAnsi="仿宋" w:eastAsia="仿宋" w:cs="仿宋"/>
                <w:i w:val="0"/>
                <w:iCs w:val="0"/>
                <w:caps w:val="0"/>
                <w:color w:val="333333"/>
                <w:spacing w:val="0"/>
                <w:sz w:val="30"/>
                <w:szCs w:val="30"/>
                <w:lang w:val="en-US" w:eastAsia="zh-CN"/>
              </w:rPr>
              <w:t>1</w:t>
            </w:r>
          </w:p>
        </w:tc>
      </w:tr>
    </w:tbl>
    <w:p w14:paraId="7EABFD1A">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2.志愿服务加分说明</w:t>
      </w:r>
    </w:p>
    <w:p w14:paraId="0D3355FA">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（1）学年内志愿服务时间不足10小时的不加分；达到10小时的，加1分；达到20小时的，加2分，以此类推，此项加分上限为5分。志愿者服务时间由学院青年志愿者协会负责统计。</w:t>
      </w:r>
    </w:p>
    <w:p w14:paraId="75AE53FF">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个人在志愿服务等活动中获评国家级、省部级、地市级、校级、院级荣誉的，分别计10分、8分、6分、4分、2分。同一项目或活动仅取最高奖励级别加分，不同项目获得多项荣誉的，可累加。荣誉称号需为校区团委等相关负责部门认定后才可按照综合测评办法加分。</w:t>
      </w:r>
    </w:p>
    <w:p w14:paraId="350CE777">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3.社会实践加分说明</w:t>
      </w:r>
    </w:p>
    <w:p w14:paraId="3A7ADF3D">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1）努力提高社会实践能力，在社会实践活动中获评国家级、省部级、地市级、校级、院级荣誉的，分别计10分、8分、6分、4分、2分。集体获奖团队每人计入相应分数。同一项目或活动仅取最高奖励级别加分，获得多项荣誉的，可累加。</w:t>
      </w:r>
    </w:p>
    <w:p w14:paraId="457D7539">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积极参加培养方案以外的企业、专业实训基地、实习基地等各类实习并提供</w:t>
      </w:r>
      <w:r>
        <w:rPr>
          <w:rFonts w:hint="eastAsia" w:ascii="仿宋_GB2312" w:hAnsi="微软雅黑" w:eastAsia="仿宋_GB2312"/>
          <w:color w:val="000000"/>
          <w:sz w:val="32"/>
          <w:szCs w:val="32"/>
          <w:lang w:val="en-US" w:eastAsia="zh-CN"/>
        </w:rPr>
        <w:t>实习</w:t>
      </w:r>
      <w:r>
        <w:rPr>
          <w:rFonts w:hint="default" w:ascii="仿宋_GB2312" w:hAnsi="微软雅黑" w:eastAsia="仿宋_GB2312"/>
          <w:color w:val="000000"/>
          <w:sz w:val="32"/>
          <w:szCs w:val="32"/>
          <w:lang w:val="en-US" w:eastAsia="zh-CN"/>
        </w:rPr>
        <w:t>单位证明，经学院认定，可加</w:t>
      </w:r>
      <w:r>
        <w:rPr>
          <w:rFonts w:hint="eastAsia" w:ascii="仿宋_GB2312" w:hAnsi="微软雅黑" w:eastAsia="仿宋_GB2312"/>
          <w:color w:val="000000"/>
          <w:sz w:val="32"/>
          <w:szCs w:val="32"/>
          <w:lang w:val="en-US" w:eastAsia="zh-CN"/>
        </w:rPr>
        <w:t>2</w:t>
      </w:r>
      <w:r>
        <w:rPr>
          <w:rFonts w:hint="default" w:ascii="仿宋_GB2312" w:hAnsi="微软雅黑" w:eastAsia="仿宋_GB2312"/>
          <w:color w:val="000000"/>
          <w:sz w:val="32"/>
          <w:szCs w:val="32"/>
          <w:lang w:val="en-US" w:eastAsia="zh-CN"/>
        </w:rPr>
        <w:t>分。</w:t>
      </w:r>
    </w:p>
    <w:p w14:paraId="6FB45490">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（三）扣分项</w:t>
      </w:r>
    </w:p>
    <w:p w14:paraId="711E08E1">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宿舍卫生检查不合格一次扣2分，上限不超过10分。</w:t>
      </w:r>
    </w:p>
    <w:p w14:paraId="001E707E">
      <w:pPr>
        <w:numPr>
          <w:ilvl w:val="0"/>
          <w:numId w:val="0"/>
        </w:numPr>
        <w:spacing w:line="560" w:lineRule="exact"/>
        <w:jc w:val="center"/>
        <w:rPr>
          <w:rFonts w:hint="default" w:ascii="仿宋_GB2312" w:hAnsi="微软雅黑" w:eastAsia="仿宋_GB2312"/>
          <w:color w:val="000000"/>
          <w:sz w:val="32"/>
          <w:szCs w:val="32"/>
          <w:lang w:val="en-US" w:eastAsia="zh-CN"/>
        </w:rPr>
      </w:pPr>
      <w:r>
        <w:rPr>
          <w:rFonts w:hint="eastAsia" w:ascii="黑体" w:hAnsi="黑体" w:eastAsia="黑体" w:cs="黑体"/>
          <w:color w:val="000000"/>
          <w:sz w:val="32"/>
          <w:szCs w:val="32"/>
          <w:lang w:val="en-US" w:eastAsia="zh-CN"/>
        </w:rPr>
        <w:t>六、综合测评工作程序</w:t>
      </w:r>
    </w:p>
    <w:p w14:paraId="7B36F7E8">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（一）</w:t>
      </w:r>
      <w:r>
        <w:rPr>
          <w:rFonts w:hint="default" w:ascii="仿宋_GB2312" w:hAnsi="微软雅黑" w:eastAsia="仿宋_GB2312"/>
          <w:color w:val="000000"/>
          <w:sz w:val="32"/>
          <w:szCs w:val="32"/>
          <w:lang w:val="en-US" w:eastAsia="zh-CN"/>
        </w:rPr>
        <w:t>以班级为单位成立研究生综合测评工作小组，研究生综合测评工作小组由研究生辅导员、班</w:t>
      </w:r>
      <w:r>
        <w:rPr>
          <w:rFonts w:hint="eastAsia" w:ascii="仿宋_GB2312" w:hAnsi="微软雅黑" w:eastAsia="仿宋_GB2312"/>
          <w:color w:val="000000"/>
          <w:sz w:val="32"/>
          <w:szCs w:val="32"/>
          <w:lang w:val="en-US" w:eastAsia="zh-CN"/>
        </w:rPr>
        <w:t>长、学习委员</w:t>
      </w:r>
      <w:r>
        <w:rPr>
          <w:rFonts w:hint="default" w:ascii="仿宋_GB2312" w:hAnsi="微软雅黑" w:eastAsia="仿宋_GB2312"/>
          <w:color w:val="000000"/>
          <w:sz w:val="32"/>
          <w:szCs w:val="32"/>
          <w:lang w:val="en-US" w:eastAsia="zh-CN"/>
        </w:rPr>
        <w:t>以及学生代表组成，组长由研究生辅导员担任。</w:t>
      </w:r>
    </w:p>
    <w:p w14:paraId="6073AAC7">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（二）</w:t>
      </w:r>
      <w:r>
        <w:rPr>
          <w:rFonts w:hint="default" w:ascii="仿宋_GB2312" w:hAnsi="微软雅黑" w:eastAsia="仿宋_GB2312"/>
          <w:color w:val="000000"/>
          <w:sz w:val="32"/>
          <w:szCs w:val="32"/>
          <w:lang w:val="en-US" w:eastAsia="zh-CN"/>
        </w:rPr>
        <w:t>以班级为单位组织学生学习考核文件，进行个人总结、自我评价以及同学互评等。</w:t>
      </w:r>
    </w:p>
    <w:p w14:paraId="0196D088">
      <w:pPr>
        <w:numPr>
          <w:ilvl w:val="0"/>
          <w:numId w:val="0"/>
        </w:numPr>
        <w:spacing w:line="560" w:lineRule="exact"/>
        <w:ind w:firstLine="640"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（三）</w:t>
      </w:r>
      <w:r>
        <w:rPr>
          <w:rFonts w:hint="default" w:ascii="仿宋_GB2312" w:hAnsi="微软雅黑" w:eastAsia="仿宋_GB2312"/>
          <w:color w:val="000000"/>
          <w:sz w:val="32"/>
          <w:szCs w:val="32"/>
          <w:lang w:val="en-US" w:eastAsia="zh-CN"/>
        </w:rPr>
        <w:t>每年综合测评时由学生本人提供年度申请加分的各级各类奖项项目证明。</w:t>
      </w:r>
    </w:p>
    <w:p w14:paraId="1648F651">
      <w:pPr>
        <w:numPr>
          <w:ilvl w:val="0"/>
          <w:numId w:val="0"/>
        </w:numPr>
        <w:spacing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（四）本办法自发布之日起实施，未尽事宜由石油学院学生工作办公室负责解释。</w:t>
      </w:r>
    </w:p>
    <w:p w14:paraId="0B793D25">
      <w:pPr>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br w:type="page"/>
      </w:r>
    </w:p>
    <w:p w14:paraId="20B0479D">
      <w:pPr>
        <w:numPr>
          <w:ilvl w:val="0"/>
          <w:numId w:val="0"/>
        </w:numPr>
        <w:spacing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附录：论文及成果加分表</w:t>
      </w:r>
    </w:p>
    <w:p w14:paraId="615726E2">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1.取得下列成绩，按如下规定分别加分：</w:t>
      </w:r>
    </w:p>
    <w:p w14:paraId="3780E553">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发表与本人所学专业有关的学术论文和获得专利授权，加分细则如下：SCI文章分区认定依据为校区图书馆检索报告，此检索报告由学生本人去校区图书馆开具并加盖校区图书馆公章。申请并获得公开号但并未授权的专利按照规定分值的1/2加分，第二学年综测计算时专利授权，补齐应加分数和第一学年已加分数差额。获奖跨越两学年的学科竞赛等，参照执行。</w:t>
      </w:r>
    </w:p>
    <w:p w14:paraId="08CD1987">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学生为第一作者的情况按照下表进行加分：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1071"/>
        <w:gridCol w:w="966"/>
        <w:gridCol w:w="942"/>
        <w:gridCol w:w="942"/>
        <w:gridCol w:w="942"/>
        <w:gridCol w:w="942"/>
        <w:gridCol w:w="945"/>
      </w:tblGrid>
      <w:tr w14:paraId="6564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vAlign w:val="center"/>
          </w:tcPr>
          <w:p w14:paraId="4A372468">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成果类别</w:t>
            </w:r>
          </w:p>
        </w:tc>
        <w:tc>
          <w:tcPr>
            <w:tcW w:w="1071" w:type="dxa"/>
            <w:vAlign w:val="center"/>
          </w:tcPr>
          <w:p w14:paraId="637E83A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总加分</w:t>
            </w:r>
          </w:p>
        </w:tc>
        <w:tc>
          <w:tcPr>
            <w:tcW w:w="966" w:type="dxa"/>
            <w:vAlign w:val="center"/>
          </w:tcPr>
          <w:p w14:paraId="6DCA2C51">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第一作者</w:t>
            </w:r>
          </w:p>
        </w:tc>
        <w:tc>
          <w:tcPr>
            <w:tcW w:w="942" w:type="dxa"/>
            <w:vAlign w:val="center"/>
          </w:tcPr>
          <w:p w14:paraId="5933B39F">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第二作者</w:t>
            </w:r>
          </w:p>
        </w:tc>
        <w:tc>
          <w:tcPr>
            <w:tcW w:w="942" w:type="dxa"/>
            <w:vAlign w:val="center"/>
          </w:tcPr>
          <w:p w14:paraId="12157EFD">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第三作者</w:t>
            </w:r>
          </w:p>
        </w:tc>
        <w:tc>
          <w:tcPr>
            <w:tcW w:w="942" w:type="dxa"/>
            <w:vAlign w:val="center"/>
          </w:tcPr>
          <w:p w14:paraId="3AF3F9A4">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第四作者</w:t>
            </w:r>
          </w:p>
        </w:tc>
        <w:tc>
          <w:tcPr>
            <w:tcW w:w="942" w:type="dxa"/>
            <w:vAlign w:val="center"/>
          </w:tcPr>
          <w:p w14:paraId="15EB8DE5">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第五作者</w:t>
            </w:r>
          </w:p>
        </w:tc>
        <w:tc>
          <w:tcPr>
            <w:tcW w:w="945" w:type="dxa"/>
            <w:vAlign w:val="center"/>
          </w:tcPr>
          <w:p w14:paraId="36515DBA">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第六作者</w:t>
            </w:r>
          </w:p>
        </w:tc>
      </w:tr>
      <w:tr w14:paraId="1770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1173A717">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中国科学院1区</w:t>
            </w:r>
          </w:p>
        </w:tc>
        <w:tc>
          <w:tcPr>
            <w:tcW w:w="1071" w:type="dxa"/>
            <w:vAlign w:val="center"/>
          </w:tcPr>
          <w:p w14:paraId="4D3612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50</w:t>
            </w:r>
          </w:p>
        </w:tc>
        <w:tc>
          <w:tcPr>
            <w:tcW w:w="966" w:type="dxa"/>
            <w:vAlign w:val="center"/>
          </w:tcPr>
          <w:p w14:paraId="2F3BD4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25</w:t>
            </w:r>
          </w:p>
        </w:tc>
        <w:tc>
          <w:tcPr>
            <w:tcW w:w="942" w:type="dxa"/>
            <w:vAlign w:val="center"/>
          </w:tcPr>
          <w:p w14:paraId="6463B4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12.5</w:t>
            </w:r>
          </w:p>
        </w:tc>
        <w:tc>
          <w:tcPr>
            <w:tcW w:w="942" w:type="dxa"/>
            <w:vAlign w:val="center"/>
          </w:tcPr>
          <w:p w14:paraId="1A4EEC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5</w:t>
            </w:r>
          </w:p>
        </w:tc>
        <w:tc>
          <w:tcPr>
            <w:tcW w:w="942" w:type="dxa"/>
            <w:vAlign w:val="center"/>
          </w:tcPr>
          <w:p w14:paraId="3E27CB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3.75</w:t>
            </w:r>
          </w:p>
        </w:tc>
        <w:tc>
          <w:tcPr>
            <w:tcW w:w="942" w:type="dxa"/>
            <w:vAlign w:val="center"/>
          </w:tcPr>
          <w:p w14:paraId="0E96EE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2.5</w:t>
            </w:r>
          </w:p>
        </w:tc>
        <w:tc>
          <w:tcPr>
            <w:tcW w:w="945" w:type="dxa"/>
            <w:vAlign w:val="center"/>
          </w:tcPr>
          <w:p w14:paraId="5EFD75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1.25</w:t>
            </w:r>
          </w:p>
        </w:tc>
      </w:tr>
      <w:tr w14:paraId="1BBB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5EC0D952">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中国科学院2区</w:t>
            </w:r>
          </w:p>
        </w:tc>
        <w:tc>
          <w:tcPr>
            <w:tcW w:w="1071" w:type="dxa"/>
            <w:vAlign w:val="center"/>
          </w:tcPr>
          <w:p w14:paraId="1572C2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30</w:t>
            </w:r>
          </w:p>
        </w:tc>
        <w:tc>
          <w:tcPr>
            <w:tcW w:w="966" w:type="dxa"/>
            <w:vAlign w:val="center"/>
          </w:tcPr>
          <w:p w14:paraId="7204F8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15.25</w:t>
            </w:r>
          </w:p>
        </w:tc>
        <w:tc>
          <w:tcPr>
            <w:tcW w:w="942" w:type="dxa"/>
            <w:vAlign w:val="center"/>
          </w:tcPr>
          <w:p w14:paraId="70EA13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7.7</w:t>
            </w:r>
          </w:p>
        </w:tc>
        <w:tc>
          <w:tcPr>
            <w:tcW w:w="942" w:type="dxa"/>
            <w:vAlign w:val="center"/>
          </w:tcPr>
          <w:p w14:paraId="313177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3.15</w:t>
            </w:r>
          </w:p>
        </w:tc>
        <w:tc>
          <w:tcPr>
            <w:tcW w:w="942" w:type="dxa"/>
            <w:vAlign w:val="center"/>
          </w:tcPr>
          <w:p w14:paraId="636013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2.35</w:t>
            </w:r>
          </w:p>
        </w:tc>
        <w:tc>
          <w:tcPr>
            <w:tcW w:w="942" w:type="dxa"/>
            <w:vAlign w:val="center"/>
          </w:tcPr>
          <w:p w14:paraId="7297FA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1.55</w:t>
            </w:r>
          </w:p>
        </w:tc>
        <w:tc>
          <w:tcPr>
            <w:tcW w:w="945" w:type="dxa"/>
            <w:tcBorders>
              <w:bottom w:val="nil"/>
            </w:tcBorders>
            <w:vAlign w:val="center"/>
          </w:tcPr>
          <w:p w14:paraId="7642AB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p>
        </w:tc>
      </w:tr>
      <w:tr w14:paraId="75DE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69836376">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中国科学院3区</w:t>
            </w:r>
          </w:p>
        </w:tc>
        <w:tc>
          <w:tcPr>
            <w:tcW w:w="1071" w:type="dxa"/>
            <w:vAlign w:val="center"/>
          </w:tcPr>
          <w:p w14:paraId="6FC7C9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15</w:t>
            </w:r>
          </w:p>
        </w:tc>
        <w:tc>
          <w:tcPr>
            <w:tcW w:w="966" w:type="dxa"/>
            <w:vAlign w:val="center"/>
          </w:tcPr>
          <w:p w14:paraId="706E04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8</w:t>
            </w:r>
          </w:p>
        </w:tc>
        <w:tc>
          <w:tcPr>
            <w:tcW w:w="942" w:type="dxa"/>
            <w:vAlign w:val="center"/>
          </w:tcPr>
          <w:p w14:paraId="1A1210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4</w:t>
            </w:r>
          </w:p>
        </w:tc>
        <w:tc>
          <w:tcPr>
            <w:tcW w:w="942" w:type="dxa"/>
            <w:vAlign w:val="center"/>
          </w:tcPr>
          <w:p w14:paraId="2B8F3B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1.7</w:t>
            </w:r>
          </w:p>
        </w:tc>
        <w:tc>
          <w:tcPr>
            <w:tcW w:w="942" w:type="dxa"/>
            <w:vAlign w:val="center"/>
          </w:tcPr>
          <w:p w14:paraId="132EF9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1.3</w:t>
            </w:r>
          </w:p>
        </w:tc>
        <w:tc>
          <w:tcPr>
            <w:tcW w:w="942" w:type="dxa"/>
            <w:tcBorders>
              <w:bottom w:val="nil"/>
              <w:right w:val="nil"/>
            </w:tcBorders>
            <w:vAlign w:val="center"/>
          </w:tcPr>
          <w:p w14:paraId="42A83A1C">
            <w:pPr>
              <w:spacing w:line="560" w:lineRule="exact"/>
              <w:jc w:val="center"/>
              <w:rPr>
                <w:rFonts w:hint="eastAsia" w:ascii="仿宋_GB2312" w:hAnsi="微软雅黑" w:eastAsia="仿宋_GB2312"/>
                <w:color w:val="000000"/>
                <w:sz w:val="30"/>
                <w:szCs w:val="30"/>
                <w:vertAlign w:val="baseline"/>
                <w:lang w:val="en-US" w:eastAsia="zh-CN"/>
              </w:rPr>
            </w:pPr>
          </w:p>
        </w:tc>
        <w:tc>
          <w:tcPr>
            <w:tcW w:w="945" w:type="dxa"/>
            <w:tcBorders>
              <w:top w:val="nil"/>
              <w:left w:val="nil"/>
              <w:bottom w:val="nil"/>
              <w:right w:val="single" w:color="auto" w:sz="4" w:space="0"/>
            </w:tcBorders>
            <w:vAlign w:val="center"/>
          </w:tcPr>
          <w:p w14:paraId="4536C6D4">
            <w:pPr>
              <w:spacing w:line="560" w:lineRule="exact"/>
              <w:jc w:val="center"/>
              <w:rPr>
                <w:rFonts w:hint="eastAsia" w:ascii="仿宋_GB2312" w:hAnsi="微软雅黑" w:eastAsia="仿宋_GB2312"/>
                <w:color w:val="000000"/>
                <w:sz w:val="30"/>
                <w:szCs w:val="30"/>
                <w:vertAlign w:val="baseline"/>
                <w:lang w:val="en-US" w:eastAsia="zh-CN"/>
              </w:rPr>
            </w:pPr>
          </w:p>
        </w:tc>
      </w:tr>
      <w:tr w14:paraId="26C4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441EB8FC">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中国科学院4区</w:t>
            </w:r>
          </w:p>
        </w:tc>
        <w:tc>
          <w:tcPr>
            <w:tcW w:w="1071" w:type="dxa"/>
            <w:vAlign w:val="center"/>
          </w:tcPr>
          <w:p w14:paraId="500D97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66" w:type="dxa"/>
            <w:vAlign w:val="center"/>
          </w:tcPr>
          <w:p w14:paraId="267277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5.75</w:t>
            </w:r>
          </w:p>
        </w:tc>
        <w:tc>
          <w:tcPr>
            <w:tcW w:w="942" w:type="dxa"/>
            <w:vAlign w:val="center"/>
          </w:tcPr>
          <w:p w14:paraId="5D7C4A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3</w:t>
            </w:r>
          </w:p>
        </w:tc>
        <w:tc>
          <w:tcPr>
            <w:tcW w:w="942" w:type="dxa"/>
            <w:vAlign w:val="center"/>
          </w:tcPr>
          <w:p w14:paraId="1AE249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default" w:ascii="仿宋_GB2312" w:hAnsi="微软雅黑" w:eastAsia="仿宋_GB2312" w:cs="仿宋_GB2312"/>
                <w:i w:val="0"/>
                <w:iCs w:val="0"/>
                <w:caps w:val="0"/>
                <w:color w:val="333333"/>
                <w:spacing w:val="0"/>
                <w:sz w:val="30"/>
                <w:szCs w:val="30"/>
              </w:rPr>
              <w:t>1.25</w:t>
            </w:r>
          </w:p>
        </w:tc>
        <w:tc>
          <w:tcPr>
            <w:tcW w:w="942" w:type="dxa"/>
            <w:tcBorders>
              <w:bottom w:val="nil"/>
              <w:right w:val="nil"/>
            </w:tcBorders>
            <w:vAlign w:val="center"/>
          </w:tcPr>
          <w:p w14:paraId="2A71EBAB">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nil"/>
              <w:right w:val="nil"/>
            </w:tcBorders>
            <w:vAlign w:val="center"/>
          </w:tcPr>
          <w:p w14:paraId="6E790859">
            <w:pPr>
              <w:spacing w:line="560" w:lineRule="exact"/>
              <w:jc w:val="center"/>
              <w:rPr>
                <w:rFonts w:hint="eastAsia" w:ascii="仿宋_GB2312" w:hAnsi="微软雅黑" w:eastAsia="仿宋_GB2312"/>
                <w:color w:val="000000"/>
                <w:sz w:val="30"/>
                <w:szCs w:val="30"/>
                <w:vertAlign w:val="baseline"/>
                <w:lang w:val="en-US" w:eastAsia="zh-CN"/>
              </w:rPr>
            </w:pPr>
          </w:p>
        </w:tc>
        <w:tc>
          <w:tcPr>
            <w:tcW w:w="945" w:type="dxa"/>
            <w:tcBorders>
              <w:top w:val="nil"/>
              <w:left w:val="nil"/>
              <w:bottom w:val="nil"/>
              <w:right w:val="single" w:color="auto" w:sz="4" w:space="0"/>
            </w:tcBorders>
            <w:vAlign w:val="center"/>
          </w:tcPr>
          <w:p w14:paraId="3C0095AD">
            <w:pPr>
              <w:spacing w:line="560" w:lineRule="exact"/>
              <w:jc w:val="center"/>
              <w:rPr>
                <w:rFonts w:hint="eastAsia" w:ascii="仿宋_GB2312" w:hAnsi="微软雅黑" w:eastAsia="仿宋_GB2312"/>
                <w:color w:val="000000"/>
                <w:sz w:val="30"/>
                <w:szCs w:val="30"/>
                <w:vertAlign w:val="baseline"/>
                <w:lang w:val="en-US" w:eastAsia="zh-CN"/>
              </w:rPr>
            </w:pPr>
          </w:p>
        </w:tc>
      </w:tr>
      <w:tr w14:paraId="22CC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364F053D">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EI</w:t>
            </w:r>
          </w:p>
        </w:tc>
        <w:tc>
          <w:tcPr>
            <w:tcW w:w="1071" w:type="dxa"/>
            <w:vAlign w:val="center"/>
          </w:tcPr>
          <w:p w14:paraId="317A96AA">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5</w:t>
            </w:r>
          </w:p>
        </w:tc>
        <w:tc>
          <w:tcPr>
            <w:tcW w:w="966" w:type="dxa"/>
            <w:vAlign w:val="center"/>
          </w:tcPr>
          <w:p w14:paraId="0BA7395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3.5</w:t>
            </w:r>
          </w:p>
        </w:tc>
        <w:tc>
          <w:tcPr>
            <w:tcW w:w="942" w:type="dxa"/>
            <w:vAlign w:val="center"/>
          </w:tcPr>
          <w:p w14:paraId="03AA4F55">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1.5</w:t>
            </w:r>
          </w:p>
        </w:tc>
        <w:tc>
          <w:tcPr>
            <w:tcW w:w="942" w:type="dxa"/>
            <w:tcBorders>
              <w:bottom w:val="nil"/>
              <w:right w:val="nil"/>
            </w:tcBorders>
            <w:vAlign w:val="center"/>
          </w:tcPr>
          <w:p w14:paraId="7F31568C">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nil"/>
              <w:right w:val="nil"/>
            </w:tcBorders>
            <w:vAlign w:val="center"/>
          </w:tcPr>
          <w:p w14:paraId="2CD50D4E">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nil"/>
              <w:right w:val="nil"/>
            </w:tcBorders>
            <w:vAlign w:val="center"/>
          </w:tcPr>
          <w:p w14:paraId="7103F2D9">
            <w:pPr>
              <w:spacing w:line="560" w:lineRule="exact"/>
              <w:jc w:val="center"/>
              <w:rPr>
                <w:rFonts w:hint="eastAsia" w:ascii="仿宋_GB2312" w:hAnsi="微软雅黑" w:eastAsia="仿宋_GB2312"/>
                <w:color w:val="000000"/>
                <w:sz w:val="30"/>
                <w:szCs w:val="30"/>
                <w:vertAlign w:val="baseline"/>
                <w:lang w:val="en-US" w:eastAsia="zh-CN"/>
              </w:rPr>
            </w:pPr>
          </w:p>
        </w:tc>
        <w:tc>
          <w:tcPr>
            <w:tcW w:w="945" w:type="dxa"/>
            <w:tcBorders>
              <w:top w:val="nil"/>
              <w:left w:val="nil"/>
              <w:bottom w:val="nil"/>
              <w:right w:val="single" w:color="auto" w:sz="4" w:space="0"/>
            </w:tcBorders>
            <w:vAlign w:val="center"/>
          </w:tcPr>
          <w:p w14:paraId="5F88CF95">
            <w:pPr>
              <w:spacing w:line="560" w:lineRule="exact"/>
              <w:jc w:val="center"/>
              <w:rPr>
                <w:rFonts w:hint="eastAsia" w:ascii="仿宋_GB2312" w:hAnsi="微软雅黑" w:eastAsia="仿宋_GB2312"/>
                <w:color w:val="000000"/>
                <w:sz w:val="30"/>
                <w:szCs w:val="30"/>
                <w:vertAlign w:val="baseline"/>
                <w:lang w:val="en-US" w:eastAsia="zh-CN"/>
              </w:rPr>
            </w:pPr>
          </w:p>
        </w:tc>
      </w:tr>
      <w:tr w14:paraId="35D6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432ECC33">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中文核心期刊</w:t>
            </w:r>
          </w:p>
        </w:tc>
        <w:tc>
          <w:tcPr>
            <w:tcW w:w="1071" w:type="dxa"/>
            <w:vAlign w:val="center"/>
          </w:tcPr>
          <w:p w14:paraId="6217ED05">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3</w:t>
            </w:r>
          </w:p>
        </w:tc>
        <w:tc>
          <w:tcPr>
            <w:tcW w:w="966" w:type="dxa"/>
            <w:tcBorders>
              <w:bottom w:val="single" w:color="auto" w:sz="4" w:space="0"/>
            </w:tcBorders>
            <w:vAlign w:val="center"/>
          </w:tcPr>
          <w:p w14:paraId="28E84C4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2</w:t>
            </w:r>
          </w:p>
        </w:tc>
        <w:tc>
          <w:tcPr>
            <w:tcW w:w="942" w:type="dxa"/>
            <w:tcBorders>
              <w:bottom w:val="single" w:color="auto" w:sz="4" w:space="0"/>
              <w:right w:val="single" w:color="auto" w:sz="4" w:space="0"/>
            </w:tcBorders>
            <w:vAlign w:val="center"/>
          </w:tcPr>
          <w:p w14:paraId="7B85D9E6">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c>
          <w:tcPr>
            <w:tcW w:w="942" w:type="dxa"/>
            <w:tcBorders>
              <w:top w:val="nil"/>
              <w:left w:val="single" w:color="auto" w:sz="4" w:space="0"/>
              <w:bottom w:val="nil"/>
              <w:right w:val="nil"/>
            </w:tcBorders>
            <w:vAlign w:val="center"/>
          </w:tcPr>
          <w:p w14:paraId="1383DD51">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nil"/>
              <w:right w:val="nil"/>
            </w:tcBorders>
            <w:vAlign w:val="center"/>
          </w:tcPr>
          <w:p w14:paraId="18FC9EDA">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nil"/>
              <w:right w:val="nil"/>
            </w:tcBorders>
            <w:vAlign w:val="center"/>
          </w:tcPr>
          <w:p w14:paraId="58171D20">
            <w:pPr>
              <w:spacing w:line="560" w:lineRule="exact"/>
              <w:jc w:val="center"/>
              <w:rPr>
                <w:rFonts w:hint="eastAsia" w:ascii="仿宋_GB2312" w:hAnsi="微软雅黑" w:eastAsia="仿宋_GB2312"/>
                <w:color w:val="000000"/>
                <w:sz w:val="30"/>
                <w:szCs w:val="30"/>
                <w:vertAlign w:val="baseline"/>
                <w:lang w:val="en-US" w:eastAsia="zh-CN"/>
              </w:rPr>
            </w:pPr>
          </w:p>
        </w:tc>
        <w:tc>
          <w:tcPr>
            <w:tcW w:w="945" w:type="dxa"/>
            <w:tcBorders>
              <w:top w:val="nil"/>
              <w:left w:val="nil"/>
              <w:bottom w:val="nil"/>
              <w:right w:val="single" w:color="auto" w:sz="4" w:space="0"/>
            </w:tcBorders>
            <w:vAlign w:val="center"/>
          </w:tcPr>
          <w:p w14:paraId="3621613C">
            <w:pPr>
              <w:spacing w:line="560" w:lineRule="exact"/>
              <w:jc w:val="center"/>
              <w:rPr>
                <w:rFonts w:hint="eastAsia" w:ascii="仿宋_GB2312" w:hAnsi="微软雅黑" w:eastAsia="仿宋_GB2312"/>
                <w:color w:val="000000"/>
                <w:sz w:val="30"/>
                <w:szCs w:val="30"/>
                <w:vertAlign w:val="baseline"/>
                <w:lang w:val="en-US" w:eastAsia="zh-CN"/>
              </w:rPr>
            </w:pPr>
          </w:p>
        </w:tc>
      </w:tr>
      <w:tr w14:paraId="7C63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2F9F2E9D">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国家发明专利</w:t>
            </w:r>
          </w:p>
        </w:tc>
        <w:tc>
          <w:tcPr>
            <w:tcW w:w="1071" w:type="dxa"/>
            <w:vAlign w:val="center"/>
          </w:tcPr>
          <w:p w14:paraId="5B338639">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66" w:type="dxa"/>
            <w:tcBorders>
              <w:top w:val="single" w:color="auto" w:sz="4" w:space="0"/>
            </w:tcBorders>
            <w:vAlign w:val="center"/>
          </w:tcPr>
          <w:p w14:paraId="0EEC7A7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7</w:t>
            </w:r>
          </w:p>
        </w:tc>
        <w:tc>
          <w:tcPr>
            <w:tcW w:w="942" w:type="dxa"/>
            <w:tcBorders>
              <w:top w:val="single" w:color="auto" w:sz="4" w:space="0"/>
              <w:right w:val="single" w:color="auto" w:sz="4" w:space="0"/>
            </w:tcBorders>
            <w:vAlign w:val="center"/>
          </w:tcPr>
          <w:p w14:paraId="3BC43D57">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c>
          <w:tcPr>
            <w:tcW w:w="942" w:type="dxa"/>
            <w:tcBorders>
              <w:top w:val="nil"/>
              <w:left w:val="single" w:color="auto" w:sz="4" w:space="0"/>
              <w:bottom w:val="single" w:color="auto" w:sz="4" w:space="0"/>
              <w:right w:val="nil"/>
            </w:tcBorders>
            <w:vAlign w:val="center"/>
          </w:tcPr>
          <w:p w14:paraId="6490396D">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single" w:color="auto" w:sz="4" w:space="0"/>
              <w:right w:val="nil"/>
            </w:tcBorders>
            <w:vAlign w:val="center"/>
          </w:tcPr>
          <w:p w14:paraId="7F8A7999">
            <w:pPr>
              <w:spacing w:line="560" w:lineRule="exact"/>
              <w:jc w:val="center"/>
              <w:rPr>
                <w:rFonts w:hint="eastAsia" w:ascii="仿宋_GB2312" w:hAnsi="微软雅黑" w:eastAsia="仿宋_GB2312"/>
                <w:color w:val="000000"/>
                <w:sz w:val="30"/>
                <w:szCs w:val="30"/>
                <w:vertAlign w:val="baseline"/>
                <w:lang w:val="en-US" w:eastAsia="zh-CN"/>
              </w:rPr>
            </w:pPr>
          </w:p>
        </w:tc>
        <w:tc>
          <w:tcPr>
            <w:tcW w:w="942" w:type="dxa"/>
            <w:tcBorders>
              <w:top w:val="nil"/>
              <w:left w:val="nil"/>
              <w:bottom w:val="single" w:color="auto" w:sz="4" w:space="0"/>
              <w:right w:val="nil"/>
            </w:tcBorders>
            <w:vAlign w:val="center"/>
          </w:tcPr>
          <w:p w14:paraId="0797D607">
            <w:pPr>
              <w:spacing w:line="560" w:lineRule="exact"/>
              <w:jc w:val="center"/>
              <w:rPr>
                <w:rFonts w:hint="eastAsia" w:ascii="仿宋_GB2312" w:hAnsi="微软雅黑" w:eastAsia="仿宋_GB2312"/>
                <w:color w:val="000000"/>
                <w:sz w:val="30"/>
                <w:szCs w:val="30"/>
                <w:vertAlign w:val="baseline"/>
                <w:lang w:val="en-US" w:eastAsia="zh-CN"/>
              </w:rPr>
            </w:pPr>
          </w:p>
        </w:tc>
        <w:tc>
          <w:tcPr>
            <w:tcW w:w="945" w:type="dxa"/>
            <w:tcBorders>
              <w:top w:val="nil"/>
              <w:left w:val="nil"/>
              <w:bottom w:val="single" w:color="auto" w:sz="4" w:space="0"/>
              <w:right w:val="single" w:color="auto" w:sz="4" w:space="0"/>
            </w:tcBorders>
            <w:vAlign w:val="center"/>
          </w:tcPr>
          <w:p w14:paraId="271AB1D3">
            <w:pPr>
              <w:spacing w:line="560" w:lineRule="exact"/>
              <w:jc w:val="center"/>
              <w:rPr>
                <w:rFonts w:hint="eastAsia" w:ascii="仿宋_GB2312" w:hAnsi="微软雅黑" w:eastAsia="仿宋_GB2312"/>
                <w:color w:val="000000"/>
                <w:sz w:val="30"/>
                <w:szCs w:val="30"/>
                <w:vertAlign w:val="baseline"/>
                <w:lang w:val="en-US" w:eastAsia="zh-CN"/>
              </w:rPr>
            </w:pPr>
          </w:p>
        </w:tc>
      </w:tr>
    </w:tbl>
    <w:p w14:paraId="24F6BE0A">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注：空白处均不加分；研究生一年级加分须乘0.6的系数。</w:t>
      </w:r>
    </w:p>
    <w:p w14:paraId="1E80EF42">
      <w:pPr>
        <w:bidi w:val="0"/>
        <w:ind w:firstLine="640" w:firstLineChars="200"/>
        <w:rPr>
          <w:rFonts w:hint="eastAsia" w:ascii="仿宋" w:hAnsi="仿宋" w:eastAsia="仿宋" w:cs="仿宋"/>
          <w:sz w:val="32"/>
          <w:szCs w:val="32"/>
          <w:lang w:val="en-US" w:eastAsia="zh-CN"/>
        </w:rPr>
      </w:pPr>
    </w:p>
    <w:p w14:paraId="0DFEA98D">
      <w:pPr>
        <w:bidi w:val="0"/>
        <w:ind w:firstLine="640" w:firstLineChars="200"/>
        <w:rPr>
          <w:rFonts w:hint="default" w:ascii="仿宋" w:hAnsi="仿宋" w:eastAsia="仿宋" w:cs="仿宋"/>
          <w:sz w:val="32"/>
          <w:szCs w:val="32"/>
          <w:lang w:val="en-US" w:eastAsia="zh-CN"/>
        </w:rPr>
      </w:pPr>
    </w:p>
    <w:p w14:paraId="69966200">
      <w:pPr>
        <w:bidi w:val="0"/>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导师为第一作者的情况按照下表进行加分：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1084"/>
        <w:gridCol w:w="943"/>
        <w:gridCol w:w="943"/>
        <w:gridCol w:w="943"/>
        <w:gridCol w:w="943"/>
        <w:gridCol w:w="943"/>
        <w:gridCol w:w="946"/>
      </w:tblGrid>
      <w:tr w14:paraId="20F6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1" w:type="dxa"/>
            <w:vAlign w:val="center"/>
          </w:tcPr>
          <w:p w14:paraId="079387A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成果类别</w:t>
            </w:r>
          </w:p>
        </w:tc>
        <w:tc>
          <w:tcPr>
            <w:tcW w:w="1084" w:type="dxa"/>
            <w:vAlign w:val="center"/>
          </w:tcPr>
          <w:p w14:paraId="76346DD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总加分</w:t>
            </w:r>
          </w:p>
        </w:tc>
        <w:tc>
          <w:tcPr>
            <w:tcW w:w="943" w:type="dxa"/>
            <w:vAlign w:val="center"/>
          </w:tcPr>
          <w:p w14:paraId="78EC4EE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导师一作</w:t>
            </w:r>
          </w:p>
        </w:tc>
        <w:tc>
          <w:tcPr>
            <w:tcW w:w="943" w:type="dxa"/>
            <w:vAlign w:val="center"/>
          </w:tcPr>
          <w:p w14:paraId="0FE446BF">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第二作者</w:t>
            </w:r>
          </w:p>
        </w:tc>
        <w:tc>
          <w:tcPr>
            <w:tcW w:w="943" w:type="dxa"/>
            <w:vAlign w:val="center"/>
          </w:tcPr>
          <w:p w14:paraId="37409FD8">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第三作者</w:t>
            </w:r>
          </w:p>
        </w:tc>
        <w:tc>
          <w:tcPr>
            <w:tcW w:w="943" w:type="dxa"/>
            <w:vAlign w:val="center"/>
          </w:tcPr>
          <w:p w14:paraId="1FEEBC84">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第四作者</w:t>
            </w:r>
          </w:p>
        </w:tc>
        <w:tc>
          <w:tcPr>
            <w:tcW w:w="943" w:type="dxa"/>
            <w:vAlign w:val="center"/>
          </w:tcPr>
          <w:p w14:paraId="32B09E19">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第五作者</w:t>
            </w:r>
          </w:p>
        </w:tc>
        <w:tc>
          <w:tcPr>
            <w:tcW w:w="946" w:type="dxa"/>
            <w:vAlign w:val="center"/>
          </w:tcPr>
          <w:p w14:paraId="44C32960">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第六作者</w:t>
            </w:r>
          </w:p>
        </w:tc>
      </w:tr>
      <w:tr w14:paraId="25F6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vAlign w:val="top"/>
          </w:tcPr>
          <w:p w14:paraId="3AD20C5A">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中国科学院1区</w:t>
            </w:r>
          </w:p>
        </w:tc>
        <w:tc>
          <w:tcPr>
            <w:tcW w:w="1084" w:type="dxa"/>
            <w:vAlign w:val="center"/>
          </w:tcPr>
          <w:p w14:paraId="500A1D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50</w:t>
            </w:r>
          </w:p>
        </w:tc>
        <w:tc>
          <w:tcPr>
            <w:tcW w:w="943" w:type="dxa"/>
            <w:vAlign w:val="center"/>
          </w:tcPr>
          <w:p w14:paraId="634FFD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w:t>
            </w:r>
          </w:p>
        </w:tc>
        <w:tc>
          <w:tcPr>
            <w:tcW w:w="943" w:type="dxa"/>
            <w:vAlign w:val="center"/>
          </w:tcPr>
          <w:p w14:paraId="3B26C0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20</w:t>
            </w:r>
          </w:p>
        </w:tc>
        <w:tc>
          <w:tcPr>
            <w:tcW w:w="3775" w:type="dxa"/>
            <w:gridSpan w:val="4"/>
            <w:vAlign w:val="center"/>
          </w:tcPr>
          <w:p w14:paraId="267E29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共5分</w:t>
            </w:r>
          </w:p>
        </w:tc>
      </w:tr>
      <w:tr w14:paraId="181F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vAlign w:val="top"/>
          </w:tcPr>
          <w:p w14:paraId="1EFD3635">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中国科学院2区</w:t>
            </w:r>
          </w:p>
        </w:tc>
        <w:tc>
          <w:tcPr>
            <w:tcW w:w="1084" w:type="dxa"/>
            <w:vAlign w:val="center"/>
          </w:tcPr>
          <w:p w14:paraId="691037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30</w:t>
            </w:r>
          </w:p>
        </w:tc>
        <w:tc>
          <w:tcPr>
            <w:tcW w:w="943" w:type="dxa"/>
            <w:vAlign w:val="center"/>
          </w:tcPr>
          <w:p w14:paraId="2C20C1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vAlign w:val="center"/>
          </w:tcPr>
          <w:p w14:paraId="4D5064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12</w:t>
            </w:r>
          </w:p>
        </w:tc>
        <w:tc>
          <w:tcPr>
            <w:tcW w:w="2829" w:type="dxa"/>
            <w:gridSpan w:val="3"/>
            <w:tcBorders>
              <w:right w:val="single" w:color="auto" w:sz="4" w:space="0"/>
            </w:tcBorders>
            <w:vAlign w:val="center"/>
          </w:tcPr>
          <w:p w14:paraId="4F1F3A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共3分</w:t>
            </w:r>
          </w:p>
        </w:tc>
        <w:tc>
          <w:tcPr>
            <w:tcW w:w="946" w:type="dxa"/>
            <w:tcBorders>
              <w:top w:val="nil"/>
              <w:left w:val="single" w:color="auto" w:sz="4" w:space="0"/>
              <w:bottom w:val="nil"/>
              <w:right w:val="single" w:color="auto" w:sz="4" w:space="0"/>
            </w:tcBorders>
            <w:vAlign w:val="center"/>
          </w:tcPr>
          <w:p w14:paraId="00DCC9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p>
        </w:tc>
      </w:tr>
      <w:tr w14:paraId="647A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vAlign w:val="top"/>
          </w:tcPr>
          <w:p w14:paraId="62BF4C20">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中国科学院3区</w:t>
            </w:r>
          </w:p>
        </w:tc>
        <w:tc>
          <w:tcPr>
            <w:tcW w:w="1084" w:type="dxa"/>
            <w:vAlign w:val="center"/>
          </w:tcPr>
          <w:p w14:paraId="75A1C7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b/>
                <w:bCs/>
                <w:color w:val="000000"/>
                <w:sz w:val="30"/>
                <w:szCs w:val="30"/>
                <w:vertAlign w:val="baseline"/>
                <w:lang w:val="en-US" w:eastAsia="zh-CN"/>
              </w:rPr>
            </w:pPr>
            <w:r>
              <w:rPr>
                <w:rFonts w:ascii="仿宋_GB2312" w:hAnsi="微软雅黑" w:eastAsia="仿宋_GB2312" w:cs="仿宋_GB2312"/>
                <w:b/>
                <w:bCs/>
                <w:i w:val="0"/>
                <w:iCs w:val="0"/>
                <w:caps w:val="0"/>
                <w:color w:val="333333"/>
                <w:spacing w:val="0"/>
                <w:sz w:val="30"/>
                <w:szCs w:val="30"/>
              </w:rPr>
              <w:t>15</w:t>
            </w:r>
          </w:p>
        </w:tc>
        <w:tc>
          <w:tcPr>
            <w:tcW w:w="943" w:type="dxa"/>
            <w:vAlign w:val="center"/>
          </w:tcPr>
          <w:p w14:paraId="187630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vAlign w:val="center"/>
          </w:tcPr>
          <w:p w14:paraId="0F2C8D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6</w:t>
            </w:r>
          </w:p>
        </w:tc>
        <w:tc>
          <w:tcPr>
            <w:tcW w:w="1886" w:type="dxa"/>
            <w:gridSpan w:val="2"/>
            <w:tcBorders>
              <w:right w:val="single" w:color="auto" w:sz="4" w:space="0"/>
            </w:tcBorders>
            <w:vAlign w:val="center"/>
          </w:tcPr>
          <w:p w14:paraId="4C013A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共1.5分</w:t>
            </w:r>
          </w:p>
        </w:tc>
        <w:tc>
          <w:tcPr>
            <w:tcW w:w="943" w:type="dxa"/>
            <w:tcBorders>
              <w:top w:val="single" w:color="auto" w:sz="4" w:space="0"/>
              <w:left w:val="single" w:color="auto" w:sz="4" w:space="0"/>
              <w:bottom w:val="nil"/>
              <w:right w:val="nil"/>
            </w:tcBorders>
            <w:vAlign w:val="center"/>
          </w:tcPr>
          <w:p w14:paraId="07D03E1C">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6BA21278">
            <w:pPr>
              <w:spacing w:line="560" w:lineRule="exact"/>
              <w:jc w:val="center"/>
              <w:rPr>
                <w:rFonts w:hint="eastAsia" w:ascii="仿宋_GB2312" w:hAnsi="微软雅黑" w:eastAsia="仿宋_GB2312"/>
                <w:color w:val="000000"/>
                <w:sz w:val="30"/>
                <w:szCs w:val="30"/>
                <w:vertAlign w:val="baseline"/>
                <w:lang w:val="en-US" w:eastAsia="zh-CN"/>
              </w:rPr>
            </w:pPr>
          </w:p>
        </w:tc>
      </w:tr>
      <w:tr w14:paraId="03B1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vAlign w:val="top"/>
          </w:tcPr>
          <w:p w14:paraId="5FF9E920">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中国科学院4区</w:t>
            </w:r>
          </w:p>
        </w:tc>
        <w:tc>
          <w:tcPr>
            <w:tcW w:w="1084" w:type="dxa"/>
            <w:vAlign w:val="center"/>
          </w:tcPr>
          <w:p w14:paraId="7740D4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43" w:type="dxa"/>
            <w:vAlign w:val="center"/>
          </w:tcPr>
          <w:p w14:paraId="613367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bottom w:val="single" w:color="auto" w:sz="4" w:space="0"/>
            </w:tcBorders>
            <w:vAlign w:val="center"/>
          </w:tcPr>
          <w:p w14:paraId="3F628D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s="仿宋_GB2312"/>
                <w:i w:val="0"/>
                <w:iCs w:val="0"/>
                <w:caps w:val="0"/>
                <w:color w:val="333333"/>
                <w:spacing w:val="0"/>
                <w:sz w:val="30"/>
                <w:szCs w:val="30"/>
                <w:lang w:val="en-US" w:eastAsia="zh-CN"/>
              </w:rPr>
              <w:t>4</w:t>
            </w:r>
          </w:p>
        </w:tc>
        <w:tc>
          <w:tcPr>
            <w:tcW w:w="943" w:type="dxa"/>
            <w:tcBorders>
              <w:bottom w:val="single" w:color="auto" w:sz="4" w:space="0"/>
              <w:right w:val="single" w:color="auto" w:sz="4" w:space="0"/>
            </w:tcBorders>
            <w:vAlign w:val="center"/>
          </w:tcPr>
          <w:p w14:paraId="4973E3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c>
          <w:tcPr>
            <w:tcW w:w="943" w:type="dxa"/>
            <w:tcBorders>
              <w:top w:val="nil"/>
              <w:left w:val="single" w:color="auto" w:sz="4" w:space="0"/>
              <w:bottom w:val="nil"/>
              <w:right w:val="nil"/>
            </w:tcBorders>
            <w:vAlign w:val="center"/>
          </w:tcPr>
          <w:p w14:paraId="4D3FFEB3">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5C971B34">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16FD1594">
            <w:pPr>
              <w:spacing w:line="560" w:lineRule="exact"/>
              <w:jc w:val="center"/>
              <w:rPr>
                <w:rFonts w:hint="eastAsia" w:ascii="仿宋_GB2312" w:hAnsi="微软雅黑" w:eastAsia="仿宋_GB2312"/>
                <w:color w:val="000000"/>
                <w:sz w:val="30"/>
                <w:szCs w:val="30"/>
                <w:vertAlign w:val="baseline"/>
                <w:lang w:val="en-US" w:eastAsia="zh-CN"/>
              </w:rPr>
            </w:pPr>
          </w:p>
        </w:tc>
      </w:tr>
      <w:tr w14:paraId="5025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61D394A5">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EI</w:t>
            </w:r>
          </w:p>
        </w:tc>
        <w:tc>
          <w:tcPr>
            <w:tcW w:w="1084" w:type="dxa"/>
            <w:vAlign w:val="center"/>
          </w:tcPr>
          <w:p w14:paraId="0144A969">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5</w:t>
            </w:r>
          </w:p>
        </w:tc>
        <w:tc>
          <w:tcPr>
            <w:tcW w:w="943" w:type="dxa"/>
            <w:vAlign w:val="center"/>
          </w:tcPr>
          <w:p w14:paraId="6C3026FC">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top w:val="single" w:color="auto" w:sz="4" w:space="0"/>
              <w:right w:val="single" w:color="auto" w:sz="4" w:space="0"/>
            </w:tcBorders>
            <w:vAlign w:val="center"/>
          </w:tcPr>
          <w:p w14:paraId="77F75C02">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2</w:t>
            </w:r>
          </w:p>
        </w:tc>
        <w:tc>
          <w:tcPr>
            <w:tcW w:w="943" w:type="dxa"/>
            <w:tcBorders>
              <w:top w:val="single" w:color="auto" w:sz="4" w:space="0"/>
              <w:left w:val="single" w:color="auto" w:sz="4" w:space="0"/>
              <w:bottom w:val="nil"/>
              <w:right w:val="nil"/>
            </w:tcBorders>
            <w:vAlign w:val="center"/>
          </w:tcPr>
          <w:p w14:paraId="116D29F1">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12AB18B4">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04576551">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6D9EBD19">
            <w:pPr>
              <w:spacing w:line="560" w:lineRule="exact"/>
              <w:jc w:val="center"/>
              <w:rPr>
                <w:rFonts w:hint="eastAsia" w:ascii="仿宋_GB2312" w:hAnsi="微软雅黑" w:eastAsia="仿宋_GB2312"/>
                <w:color w:val="000000"/>
                <w:sz w:val="30"/>
                <w:szCs w:val="30"/>
                <w:vertAlign w:val="baseline"/>
                <w:lang w:val="en-US" w:eastAsia="zh-CN"/>
              </w:rPr>
            </w:pPr>
          </w:p>
        </w:tc>
      </w:tr>
      <w:tr w14:paraId="55CB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482A7309">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中文核心期刊</w:t>
            </w:r>
          </w:p>
        </w:tc>
        <w:tc>
          <w:tcPr>
            <w:tcW w:w="1084" w:type="dxa"/>
            <w:vAlign w:val="center"/>
          </w:tcPr>
          <w:p w14:paraId="157580E6">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3</w:t>
            </w:r>
          </w:p>
        </w:tc>
        <w:tc>
          <w:tcPr>
            <w:tcW w:w="943" w:type="dxa"/>
            <w:tcBorders>
              <w:bottom w:val="single" w:color="auto" w:sz="4" w:space="0"/>
            </w:tcBorders>
            <w:vAlign w:val="center"/>
          </w:tcPr>
          <w:p w14:paraId="38CFF57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bottom w:val="single" w:color="auto" w:sz="4" w:space="0"/>
              <w:right w:val="single" w:color="auto" w:sz="4" w:space="0"/>
            </w:tcBorders>
            <w:vAlign w:val="center"/>
          </w:tcPr>
          <w:p w14:paraId="04AD16E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1.2</w:t>
            </w:r>
          </w:p>
        </w:tc>
        <w:tc>
          <w:tcPr>
            <w:tcW w:w="943" w:type="dxa"/>
            <w:tcBorders>
              <w:top w:val="nil"/>
              <w:left w:val="single" w:color="auto" w:sz="4" w:space="0"/>
              <w:bottom w:val="nil"/>
              <w:right w:val="nil"/>
            </w:tcBorders>
            <w:vAlign w:val="center"/>
          </w:tcPr>
          <w:p w14:paraId="253251FA">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60CB3774">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nil"/>
              <w:right w:val="nil"/>
            </w:tcBorders>
            <w:vAlign w:val="center"/>
          </w:tcPr>
          <w:p w14:paraId="77A3CDE5">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nil"/>
              <w:right w:val="single" w:color="auto" w:sz="4" w:space="0"/>
            </w:tcBorders>
            <w:vAlign w:val="center"/>
          </w:tcPr>
          <w:p w14:paraId="33FE677B">
            <w:pPr>
              <w:spacing w:line="560" w:lineRule="exact"/>
              <w:jc w:val="center"/>
              <w:rPr>
                <w:rFonts w:hint="eastAsia" w:ascii="仿宋_GB2312" w:hAnsi="微软雅黑" w:eastAsia="仿宋_GB2312"/>
                <w:color w:val="000000"/>
                <w:sz w:val="30"/>
                <w:szCs w:val="30"/>
                <w:vertAlign w:val="baseline"/>
                <w:lang w:val="en-US" w:eastAsia="zh-CN"/>
              </w:rPr>
            </w:pPr>
          </w:p>
        </w:tc>
      </w:tr>
      <w:tr w14:paraId="2A23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1" w:type="dxa"/>
          </w:tcPr>
          <w:p w14:paraId="1EEBD09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国家发明专利</w:t>
            </w:r>
          </w:p>
        </w:tc>
        <w:tc>
          <w:tcPr>
            <w:tcW w:w="1084" w:type="dxa"/>
            <w:vAlign w:val="center"/>
          </w:tcPr>
          <w:p w14:paraId="7EE56C29">
            <w:pPr>
              <w:spacing w:line="560" w:lineRule="exact"/>
              <w:jc w:val="center"/>
              <w:rPr>
                <w:rFonts w:hint="default" w:ascii="仿宋_GB2312" w:hAnsi="微软雅黑" w:eastAsia="仿宋_GB2312"/>
                <w:b/>
                <w:bCs/>
                <w:color w:val="000000"/>
                <w:sz w:val="30"/>
                <w:szCs w:val="30"/>
                <w:vertAlign w:val="baseline"/>
                <w:lang w:val="en-US" w:eastAsia="zh-CN"/>
              </w:rPr>
            </w:pPr>
            <w:r>
              <w:rPr>
                <w:rFonts w:hint="eastAsia" w:ascii="仿宋_GB2312" w:hAnsi="微软雅黑" w:eastAsia="仿宋_GB2312"/>
                <w:b/>
                <w:bCs/>
                <w:color w:val="000000"/>
                <w:sz w:val="30"/>
                <w:szCs w:val="30"/>
                <w:vertAlign w:val="baseline"/>
                <w:lang w:val="en-US" w:eastAsia="zh-CN"/>
              </w:rPr>
              <w:t>10</w:t>
            </w:r>
          </w:p>
        </w:tc>
        <w:tc>
          <w:tcPr>
            <w:tcW w:w="943" w:type="dxa"/>
            <w:tcBorders>
              <w:top w:val="single" w:color="auto" w:sz="4" w:space="0"/>
            </w:tcBorders>
            <w:vAlign w:val="center"/>
          </w:tcPr>
          <w:p w14:paraId="2751014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w:t>
            </w:r>
          </w:p>
        </w:tc>
        <w:tc>
          <w:tcPr>
            <w:tcW w:w="943" w:type="dxa"/>
            <w:tcBorders>
              <w:top w:val="single" w:color="auto" w:sz="4" w:space="0"/>
              <w:right w:val="single" w:color="auto" w:sz="4" w:space="0"/>
            </w:tcBorders>
            <w:vAlign w:val="center"/>
          </w:tcPr>
          <w:p w14:paraId="7E691EA4">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4</w:t>
            </w:r>
          </w:p>
        </w:tc>
        <w:tc>
          <w:tcPr>
            <w:tcW w:w="943" w:type="dxa"/>
            <w:tcBorders>
              <w:top w:val="nil"/>
              <w:left w:val="single" w:color="auto" w:sz="4" w:space="0"/>
              <w:bottom w:val="single" w:color="auto" w:sz="4" w:space="0"/>
              <w:right w:val="nil"/>
            </w:tcBorders>
            <w:vAlign w:val="center"/>
          </w:tcPr>
          <w:p w14:paraId="38806E18">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single" w:color="auto" w:sz="4" w:space="0"/>
              <w:right w:val="nil"/>
            </w:tcBorders>
            <w:vAlign w:val="center"/>
          </w:tcPr>
          <w:p w14:paraId="62F7FCF7">
            <w:pPr>
              <w:spacing w:line="560" w:lineRule="exact"/>
              <w:jc w:val="center"/>
              <w:rPr>
                <w:rFonts w:hint="eastAsia" w:ascii="仿宋_GB2312" w:hAnsi="微软雅黑" w:eastAsia="仿宋_GB2312"/>
                <w:color w:val="000000"/>
                <w:sz w:val="30"/>
                <w:szCs w:val="30"/>
                <w:vertAlign w:val="baseline"/>
                <w:lang w:val="en-US" w:eastAsia="zh-CN"/>
              </w:rPr>
            </w:pPr>
          </w:p>
        </w:tc>
        <w:tc>
          <w:tcPr>
            <w:tcW w:w="943" w:type="dxa"/>
            <w:tcBorders>
              <w:top w:val="nil"/>
              <w:left w:val="nil"/>
              <w:bottom w:val="single" w:color="auto" w:sz="4" w:space="0"/>
              <w:right w:val="nil"/>
            </w:tcBorders>
            <w:vAlign w:val="center"/>
          </w:tcPr>
          <w:p w14:paraId="26DA27CD">
            <w:pPr>
              <w:spacing w:line="560" w:lineRule="exact"/>
              <w:jc w:val="center"/>
              <w:rPr>
                <w:rFonts w:hint="eastAsia" w:ascii="仿宋_GB2312" w:hAnsi="微软雅黑" w:eastAsia="仿宋_GB2312"/>
                <w:color w:val="000000"/>
                <w:sz w:val="30"/>
                <w:szCs w:val="30"/>
                <w:vertAlign w:val="baseline"/>
                <w:lang w:val="en-US" w:eastAsia="zh-CN"/>
              </w:rPr>
            </w:pPr>
          </w:p>
        </w:tc>
        <w:tc>
          <w:tcPr>
            <w:tcW w:w="946" w:type="dxa"/>
            <w:tcBorders>
              <w:top w:val="nil"/>
              <w:left w:val="nil"/>
              <w:bottom w:val="single" w:color="auto" w:sz="4" w:space="0"/>
              <w:right w:val="single" w:color="auto" w:sz="4" w:space="0"/>
            </w:tcBorders>
            <w:vAlign w:val="center"/>
          </w:tcPr>
          <w:p w14:paraId="5ADB4D5B">
            <w:pPr>
              <w:spacing w:line="560" w:lineRule="exact"/>
              <w:jc w:val="center"/>
              <w:rPr>
                <w:rFonts w:hint="eastAsia" w:ascii="仿宋_GB2312" w:hAnsi="微软雅黑" w:eastAsia="仿宋_GB2312"/>
                <w:color w:val="000000"/>
                <w:sz w:val="30"/>
                <w:szCs w:val="30"/>
                <w:vertAlign w:val="baseline"/>
                <w:lang w:val="en-US" w:eastAsia="zh-CN"/>
              </w:rPr>
            </w:pPr>
          </w:p>
        </w:tc>
      </w:tr>
    </w:tbl>
    <w:p w14:paraId="4CA07F24">
      <w:p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注：空白处均不加分；研究生一年级加分须乘0.6的系数。文章中排第一的为第一作者，依次往后。</w:t>
      </w:r>
    </w:p>
    <w:p w14:paraId="3ECA81A3">
      <w:pPr>
        <w:bidi w:val="0"/>
        <w:jc w:val="both"/>
        <w:rPr>
          <w:rFonts w:hint="eastAsia" w:ascii="仿宋" w:hAnsi="仿宋" w:eastAsia="仿宋" w:cs="仿宋"/>
          <w:sz w:val="32"/>
          <w:szCs w:val="32"/>
          <w:lang w:val="en-US" w:eastAsia="zh-CN"/>
        </w:rPr>
      </w:pPr>
    </w:p>
    <w:p w14:paraId="6819EE1E">
      <w:p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（2）在学术会议上宣读并发表与本人所学专业有关的学术论文（</w:t>
      </w:r>
      <w:r>
        <w:rPr>
          <w:rFonts w:hint="eastAsia" w:ascii="仿宋" w:hAnsi="仿宋" w:eastAsia="仿宋" w:cs="仿宋"/>
          <w:b/>
          <w:bCs/>
          <w:color w:val="FF0000"/>
          <w:sz w:val="32"/>
          <w:szCs w:val="32"/>
          <w:lang w:val="en-US" w:eastAsia="zh-CN"/>
        </w:rPr>
        <w:t>仅认除去导师后，排名为第一作者的学生</w:t>
      </w:r>
      <w:r>
        <w:rPr>
          <w:rFonts w:hint="eastAsia" w:ascii="仿宋" w:hAnsi="仿宋" w:eastAsia="仿宋" w:cs="仿宋"/>
          <w:sz w:val="32"/>
          <w:szCs w:val="32"/>
          <w:lang w:val="en-US" w:eastAsia="zh-CN"/>
        </w:rPr>
        <w:t>），根据学术会议级别，分成三档加分；发表论文摘要，按本规定的1/4加分。会议级别以当年下发的国际会议名录为准。学生应提供会议论文集或会议主办方提供的宣读证明。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14:paraId="0E17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498E1021">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会议级别</w:t>
            </w:r>
          </w:p>
        </w:tc>
        <w:tc>
          <w:tcPr>
            <w:tcW w:w="2265" w:type="dxa"/>
            <w:vAlign w:val="center"/>
          </w:tcPr>
          <w:p w14:paraId="5FD603E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国际重要会议</w:t>
            </w:r>
          </w:p>
        </w:tc>
        <w:tc>
          <w:tcPr>
            <w:tcW w:w="2265" w:type="dxa"/>
            <w:vAlign w:val="center"/>
          </w:tcPr>
          <w:p w14:paraId="678339E3">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国际一般会议</w:t>
            </w:r>
          </w:p>
        </w:tc>
        <w:tc>
          <w:tcPr>
            <w:tcW w:w="2266" w:type="dxa"/>
            <w:vAlign w:val="center"/>
          </w:tcPr>
          <w:p w14:paraId="036C8D31">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国内会议</w:t>
            </w:r>
          </w:p>
        </w:tc>
      </w:tr>
      <w:tr w14:paraId="0921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3EA47109">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加分</w:t>
            </w:r>
          </w:p>
        </w:tc>
        <w:tc>
          <w:tcPr>
            <w:tcW w:w="2265" w:type="dxa"/>
            <w:vAlign w:val="center"/>
          </w:tcPr>
          <w:p w14:paraId="02996F2C">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5</w:t>
            </w:r>
          </w:p>
        </w:tc>
        <w:tc>
          <w:tcPr>
            <w:tcW w:w="2265" w:type="dxa"/>
            <w:vAlign w:val="center"/>
          </w:tcPr>
          <w:p w14:paraId="4105BF7F">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c>
          <w:tcPr>
            <w:tcW w:w="2266" w:type="dxa"/>
            <w:vAlign w:val="center"/>
          </w:tcPr>
          <w:p w14:paraId="0C8D8499">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w:t>
            </w:r>
          </w:p>
        </w:tc>
      </w:tr>
    </w:tbl>
    <w:p w14:paraId="68671372">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注：空白处均不加分；研究生一年级加分须乘0.6的系数。</w:t>
      </w:r>
    </w:p>
    <w:p w14:paraId="579D87AA">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（3）参加学科竞赛及大学生科技活动取得各级奖励者按下表加分：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9"/>
        <w:gridCol w:w="1615"/>
        <w:gridCol w:w="1615"/>
        <w:gridCol w:w="1615"/>
        <w:gridCol w:w="1617"/>
      </w:tblGrid>
      <w:tr w14:paraId="6867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599" w:type="dxa"/>
            <w:tcBorders>
              <w:tl2br w:val="single" w:color="auto" w:sz="4" w:space="0"/>
            </w:tcBorders>
            <w:vAlign w:val="center"/>
          </w:tcPr>
          <w:p w14:paraId="3BEE58A6">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 xml:space="preserve">       分值</w:t>
            </w:r>
          </w:p>
          <w:p w14:paraId="1DDD017D">
            <w:pPr>
              <w:spacing w:line="560" w:lineRule="exact"/>
              <w:ind w:firstLine="300" w:firstLineChars="100"/>
              <w:jc w:val="left"/>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级别</w:t>
            </w:r>
          </w:p>
        </w:tc>
        <w:tc>
          <w:tcPr>
            <w:tcW w:w="1615" w:type="dxa"/>
            <w:tcBorders>
              <w:tl2br w:val="nil"/>
              <w:tr2bl w:val="nil"/>
            </w:tcBorders>
            <w:vAlign w:val="center"/>
          </w:tcPr>
          <w:p w14:paraId="6EA548CE">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一等奖</w:t>
            </w:r>
          </w:p>
        </w:tc>
        <w:tc>
          <w:tcPr>
            <w:tcW w:w="1615" w:type="dxa"/>
            <w:tcBorders>
              <w:tl2br w:val="nil"/>
              <w:tr2bl w:val="nil"/>
            </w:tcBorders>
            <w:vAlign w:val="center"/>
          </w:tcPr>
          <w:p w14:paraId="499873E5">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二等奖</w:t>
            </w:r>
          </w:p>
        </w:tc>
        <w:tc>
          <w:tcPr>
            <w:tcW w:w="1615" w:type="dxa"/>
            <w:tcBorders>
              <w:tl2br w:val="nil"/>
              <w:tr2bl w:val="nil"/>
            </w:tcBorders>
            <w:vAlign w:val="center"/>
          </w:tcPr>
          <w:p w14:paraId="0484B7B6">
            <w:pPr>
              <w:spacing w:line="560" w:lineRule="exact"/>
              <w:jc w:val="center"/>
              <w:rPr>
                <w:rFonts w:hint="eastAsia" w:ascii="仿宋_GB2312" w:hAnsi="微软雅黑" w:eastAsia="仿宋_GB2312"/>
                <w:color w:val="000000"/>
                <w:sz w:val="30"/>
                <w:szCs w:val="30"/>
                <w:vertAlign w:val="baseline"/>
              </w:rPr>
            </w:pPr>
            <w:r>
              <w:rPr>
                <w:rFonts w:hint="eastAsia" w:ascii="仿宋_GB2312" w:hAnsi="微软雅黑" w:eastAsia="仿宋_GB2312"/>
                <w:color w:val="000000"/>
                <w:sz w:val="30"/>
                <w:szCs w:val="30"/>
                <w:vertAlign w:val="baseline"/>
                <w:lang w:val="en-US" w:eastAsia="zh-CN"/>
              </w:rPr>
              <w:t>三等奖</w:t>
            </w:r>
          </w:p>
        </w:tc>
        <w:tc>
          <w:tcPr>
            <w:tcW w:w="1617" w:type="dxa"/>
            <w:tcBorders>
              <w:tl2br w:val="nil"/>
              <w:tr2bl w:val="nil"/>
            </w:tcBorders>
            <w:vAlign w:val="center"/>
          </w:tcPr>
          <w:p w14:paraId="30FABEC3">
            <w:pPr>
              <w:spacing w:line="560" w:lineRule="exact"/>
              <w:jc w:val="center"/>
              <w:rPr>
                <w:rFonts w:hint="default" w:ascii="仿宋_GB2312" w:hAnsi="微软雅黑" w:eastAsia="仿宋_GB2312"/>
                <w:color w:val="000000"/>
                <w:sz w:val="30"/>
                <w:szCs w:val="30"/>
                <w:vertAlign w:val="baseline"/>
                <w:lang w:val="en-US"/>
              </w:rPr>
            </w:pPr>
            <w:r>
              <w:rPr>
                <w:rFonts w:hint="eastAsia" w:ascii="仿宋_GB2312" w:hAnsi="微软雅黑" w:eastAsia="仿宋_GB2312"/>
                <w:color w:val="000000"/>
                <w:sz w:val="30"/>
                <w:szCs w:val="30"/>
                <w:vertAlign w:val="baseline"/>
                <w:lang w:val="en-US" w:eastAsia="zh-CN"/>
              </w:rPr>
              <w:t>鼓励奖/优秀奖</w:t>
            </w:r>
          </w:p>
        </w:tc>
      </w:tr>
      <w:tr w14:paraId="1AAC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l2br w:val="nil"/>
              <w:tr2bl w:val="nil"/>
            </w:tcBorders>
            <w:vAlign w:val="center"/>
          </w:tcPr>
          <w:p w14:paraId="432058A1">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国家级</w:t>
            </w:r>
          </w:p>
        </w:tc>
        <w:tc>
          <w:tcPr>
            <w:tcW w:w="1615" w:type="dxa"/>
            <w:tcBorders>
              <w:tl2br w:val="nil"/>
              <w:tr2bl w:val="nil"/>
            </w:tcBorders>
            <w:vAlign w:val="center"/>
          </w:tcPr>
          <w:p w14:paraId="617C7350">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12</w:t>
            </w:r>
          </w:p>
        </w:tc>
        <w:tc>
          <w:tcPr>
            <w:tcW w:w="1615" w:type="dxa"/>
            <w:tcBorders>
              <w:tl2br w:val="nil"/>
              <w:tr2bl w:val="nil"/>
            </w:tcBorders>
            <w:vAlign w:val="center"/>
          </w:tcPr>
          <w:p w14:paraId="1C9278C1">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10</w:t>
            </w:r>
          </w:p>
        </w:tc>
        <w:tc>
          <w:tcPr>
            <w:tcW w:w="1615" w:type="dxa"/>
            <w:tcBorders>
              <w:tl2br w:val="nil"/>
              <w:tr2bl w:val="nil"/>
            </w:tcBorders>
            <w:vAlign w:val="center"/>
          </w:tcPr>
          <w:p w14:paraId="6B3123B3">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8</w:t>
            </w:r>
          </w:p>
        </w:tc>
        <w:tc>
          <w:tcPr>
            <w:tcW w:w="1617" w:type="dxa"/>
            <w:tcBorders>
              <w:tl2br w:val="nil"/>
              <w:tr2bl w:val="nil"/>
            </w:tcBorders>
            <w:vAlign w:val="center"/>
          </w:tcPr>
          <w:p w14:paraId="054F1E73">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5</w:t>
            </w:r>
          </w:p>
        </w:tc>
      </w:tr>
      <w:tr w14:paraId="5693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l2br w:val="nil"/>
              <w:tr2bl w:val="nil"/>
            </w:tcBorders>
            <w:vAlign w:val="center"/>
          </w:tcPr>
          <w:p w14:paraId="3329ED61">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省部级</w:t>
            </w:r>
          </w:p>
        </w:tc>
        <w:tc>
          <w:tcPr>
            <w:tcW w:w="1615" w:type="dxa"/>
            <w:tcBorders>
              <w:tl2br w:val="nil"/>
              <w:tr2bl w:val="nil"/>
            </w:tcBorders>
            <w:vAlign w:val="center"/>
          </w:tcPr>
          <w:p w14:paraId="0965DA5E">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8</w:t>
            </w:r>
          </w:p>
        </w:tc>
        <w:tc>
          <w:tcPr>
            <w:tcW w:w="1615" w:type="dxa"/>
            <w:tcBorders>
              <w:tl2br w:val="nil"/>
              <w:tr2bl w:val="nil"/>
            </w:tcBorders>
            <w:vAlign w:val="center"/>
          </w:tcPr>
          <w:p w14:paraId="4D9C64D5">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6</w:t>
            </w:r>
          </w:p>
        </w:tc>
        <w:tc>
          <w:tcPr>
            <w:tcW w:w="1615" w:type="dxa"/>
            <w:tcBorders>
              <w:tl2br w:val="nil"/>
              <w:tr2bl w:val="nil"/>
            </w:tcBorders>
            <w:vAlign w:val="center"/>
          </w:tcPr>
          <w:p w14:paraId="32E49F1B">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4</w:t>
            </w:r>
          </w:p>
        </w:tc>
        <w:tc>
          <w:tcPr>
            <w:tcW w:w="1617" w:type="dxa"/>
            <w:tcBorders>
              <w:tl2br w:val="nil"/>
              <w:tr2bl w:val="nil"/>
            </w:tcBorders>
            <w:vAlign w:val="center"/>
          </w:tcPr>
          <w:p w14:paraId="6951208D">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r>
      <w:tr w14:paraId="68F7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9" w:type="dxa"/>
            <w:tcBorders>
              <w:tl2br w:val="nil"/>
              <w:tr2bl w:val="nil"/>
            </w:tcBorders>
          </w:tcPr>
          <w:p w14:paraId="29CB1D3C">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校级</w:t>
            </w:r>
          </w:p>
        </w:tc>
        <w:tc>
          <w:tcPr>
            <w:tcW w:w="1615" w:type="dxa"/>
            <w:tcBorders>
              <w:tl2br w:val="nil"/>
              <w:tr2bl w:val="nil"/>
            </w:tcBorders>
            <w:vAlign w:val="center"/>
          </w:tcPr>
          <w:p w14:paraId="7F10643A">
            <w:pPr>
              <w:spacing w:line="560" w:lineRule="exact"/>
              <w:jc w:val="center"/>
              <w:rPr>
                <w:rFonts w:hint="eastAsia"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4</w:t>
            </w:r>
          </w:p>
        </w:tc>
        <w:tc>
          <w:tcPr>
            <w:tcW w:w="1615" w:type="dxa"/>
            <w:tcBorders>
              <w:tl2br w:val="nil"/>
              <w:tr2bl w:val="nil"/>
            </w:tcBorders>
            <w:vAlign w:val="center"/>
          </w:tcPr>
          <w:p w14:paraId="027398E4">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3</w:t>
            </w:r>
          </w:p>
        </w:tc>
        <w:tc>
          <w:tcPr>
            <w:tcW w:w="1615" w:type="dxa"/>
            <w:tcBorders>
              <w:tl2br w:val="nil"/>
              <w:tr2bl w:val="nil"/>
            </w:tcBorders>
            <w:vAlign w:val="center"/>
          </w:tcPr>
          <w:p w14:paraId="29191576">
            <w:pPr>
              <w:spacing w:line="560" w:lineRule="exact"/>
              <w:jc w:val="center"/>
              <w:rPr>
                <w:rFonts w:hint="default" w:ascii="仿宋_GB2312" w:hAnsi="微软雅黑" w:eastAsia="仿宋_GB2312"/>
                <w:color w:val="000000"/>
                <w:sz w:val="30"/>
                <w:szCs w:val="30"/>
                <w:vertAlign w:val="baseline"/>
                <w:lang w:val="en-US" w:eastAsia="zh-CN"/>
              </w:rPr>
            </w:pPr>
            <w:r>
              <w:rPr>
                <w:rFonts w:hint="eastAsia" w:ascii="仿宋_GB2312" w:hAnsi="微软雅黑" w:eastAsia="仿宋_GB2312"/>
                <w:color w:val="000000"/>
                <w:sz w:val="30"/>
                <w:szCs w:val="30"/>
                <w:vertAlign w:val="baseline"/>
                <w:lang w:val="en-US" w:eastAsia="zh-CN"/>
              </w:rPr>
              <w:t>2</w:t>
            </w:r>
          </w:p>
        </w:tc>
        <w:tc>
          <w:tcPr>
            <w:tcW w:w="1617" w:type="dxa"/>
            <w:tcBorders>
              <w:tl2br w:val="nil"/>
              <w:tr2bl w:val="nil"/>
            </w:tcBorders>
            <w:vAlign w:val="center"/>
          </w:tcPr>
          <w:p w14:paraId="74E057AE">
            <w:pPr>
              <w:spacing w:line="560" w:lineRule="exact"/>
              <w:jc w:val="center"/>
              <w:rPr>
                <w:rFonts w:hint="eastAsia" w:ascii="仿宋_GB2312" w:hAnsi="微软雅黑" w:eastAsia="仿宋_GB2312"/>
                <w:color w:val="000000"/>
                <w:sz w:val="30"/>
                <w:szCs w:val="30"/>
                <w:vertAlign w:val="baseline"/>
                <w:lang w:eastAsia="zh-CN"/>
              </w:rPr>
            </w:pPr>
            <w:r>
              <w:rPr>
                <w:rFonts w:hint="eastAsia" w:ascii="仿宋_GB2312" w:hAnsi="微软雅黑" w:eastAsia="仿宋_GB2312"/>
                <w:color w:val="000000"/>
                <w:sz w:val="30"/>
                <w:szCs w:val="30"/>
                <w:vertAlign w:val="baseline"/>
                <w:lang w:val="en-US" w:eastAsia="zh-CN"/>
              </w:rPr>
              <w:t>1</w:t>
            </w:r>
          </w:p>
        </w:tc>
      </w:tr>
    </w:tbl>
    <w:p w14:paraId="7BA13FFC">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校区认定竞赛分为四个等级，实行动态管理。具体竞赛项目类别以校区当年发布的《中国石油大学（北京）克拉玛依校区创新创业竞赛认定目录》为准。同一比赛项目只能择一等级认定加分。A级赛事加分系数为1.5；B级赛事加分系数为1.0；C级赛事加分系数为0.5；D级赛事加分系数为0.3。</w:t>
      </w:r>
    </w:p>
    <w:p w14:paraId="700028F9">
      <w:pPr>
        <w:numPr>
          <w:ilvl w:val="0"/>
          <w:numId w:val="0"/>
        </w:numPr>
        <w:bidi w:val="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级赛事中如设有特等奖，特等奖等同一等奖，一等奖等同二等奖，以此类推，三等奖（铜奖）按照省部级一等奖（金奖）加分，该赛事省部级一等奖（金奖）加分减半。B级赛事中如设有特等奖且仅有唯一项目获得特等奖，则该赛事特等奖加分系数为1.2，一等奖加分不变；其他特等奖等同一等奖，一等奖等同二等奖，以此类推。</w:t>
      </w:r>
    </w:p>
    <w:p w14:paraId="1A07B173">
      <w:pPr>
        <w:numPr>
          <w:ilvl w:val="0"/>
          <w:numId w:val="0"/>
        </w:numPr>
        <w:bidi w:val="0"/>
        <w:jc w:val="both"/>
        <w:rPr>
          <w:rFonts w:hint="eastAsia" w:ascii="仿宋" w:hAnsi="仿宋" w:eastAsia="仿宋" w:cs="仿宋"/>
          <w:sz w:val="32"/>
          <w:szCs w:val="32"/>
          <w:lang w:val="en-US" w:eastAsia="zh-CN"/>
        </w:rPr>
      </w:pPr>
    </w:p>
    <w:p w14:paraId="7FC0D33C">
      <w:pPr>
        <w:numPr>
          <w:ilvl w:val="0"/>
          <w:numId w:val="0"/>
        </w:numPr>
        <w:bidi w:val="0"/>
        <w:jc w:val="both"/>
        <w:rPr>
          <w:rFonts w:hint="eastAsia" w:ascii="仿宋" w:hAnsi="仿宋" w:eastAsia="仿宋" w:cs="仿宋"/>
          <w:sz w:val="32"/>
          <w:szCs w:val="32"/>
          <w:lang w:val="en-US" w:eastAsia="zh-CN"/>
        </w:rPr>
      </w:pPr>
    </w:p>
    <w:p w14:paraId="3EFBD3A7">
      <w:pPr>
        <w:numPr>
          <w:ilvl w:val="0"/>
          <w:numId w:val="0"/>
        </w:numPr>
        <w:bidi w:val="0"/>
        <w:ind w:left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（4）获得科技成果奖者，最高按照下表加分：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07A1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0" w:type="dxa"/>
            <w:gridSpan w:val="2"/>
          </w:tcPr>
          <w:p w14:paraId="7F43DEAB">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级别</w:t>
            </w:r>
          </w:p>
        </w:tc>
        <w:tc>
          <w:tcPr>
            <w:tcW w:w="3021" w:type="dxa"/>
          </w:tcPr>
          <w:p w14:paraId="5160400F">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加分</w:t>
            </w:r>
          </w:p>
        </w:tc>
      </w:tr>
      <w:tr w14:paraId="7689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vAlign w:val="center"/>
          </w:tcPr>
          <w:p w14:paraId="6D9B1990">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国家级</w:t>
            </w:r>
          </w:p>
        </w:tc>
        <w:tc>
          <w:tcPr>
            <w:tcW w:w="3020" w:type="dxa"/>
          </w:tcPr>
          <w:p w14:paraId="56DA2485">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特等奖</w:t>
            </w:r>
          </w:p>
        </w:tc>
        <w:tc>
          <w:tcPr>
            <w:tcW w:w="3021" w:type="dxa"/>
          </w:tcPr>
          <w:p w14:paraId="5A4C3860">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40</w:t>
            </w:r>
          </w:p>
        </w:tc>
      </w:tr>
      <w:tr w14:paraId="2067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3FC33CBC">
            <w:pPr>
              <w:numPr>
                <w:ilvl w:val="0"/>
                <w:numId w:val="0"/>
              </w:numPr>
              <w:bidi w:val="0"/>
              <w:jc w:val="center"/>
              <w:rPr>
                <w:rFonts w:hint="eastAsia" w:ascii="仿宋" w:hAnsi="仿宋" w:eastAsia="仿宋" w:cs="仿宋"/>
                <w:sz w:val="32"/>
                <w:szCs w:val="32"/>
                <w:vertAlign w:val="baseline"/>
                <w:lang w:val="en-US" w:eastAsia="zh-CN"/>
              </w:rPr>
            </w:pPr>
          </w:p>
        </w:tc>
        <w:tc>
          <w:tcPr>
            <w:tcW w:w="3020" w:type="dxa"/>
          </w:tcPr>
          <w:p w14:paraId="722D2668">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一等奖</w:t>
            </w:r>
          </w:p>
        </w:tc>
        <w:tc>
          <w:tcPr>
            <w:tcW w:w="3021" w:type="dxa"/>
          </w:tcPr>
          <w:p w14:paraId="12EF8A38">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30</w:t>
            </w:r>
          </w:p>
        </w:tc>
      </w:tr>
      <w:tr w14:paraId="5D14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5057DB32">
            <w:pPr>
              <w:numPr>
                <w:ilvl w:val="0"/>
                <w:numId w:val="0"/>
              </w:numPr>
              <w:bidi w:val="0"/>
              <w:jc w:val="center"/>
              <w:rPr>
                <w:rFonts w:hint="eastAsia" w:ascii="仿宋" w:hAnsi="仿宋" w:eastAsia="仿宋" w:cs="仿宋"/>
                <w:sz w:val="32"/>
                <w:szCs w:val="32"/>
                <w:vertAlign w:val="baseline"/>
                <w:lang w:val="en-US" w:eastAsia="zh-CN"/>
              </w:rPr>
            </w:pPr>
          </w:p>
        </w:tc>
        <w:tc>
          <w:tcPr>
            <w:tcW w:w="3020" w:type="dxa"/>
          </w:tcPr>
          <w:p w14:paraId="289993AB">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二等奖</w:t>
            </w:r>
          </w:p>
        </w:tc>
        <w:tc>
          <w:tcPr>
            <w:tcW w:w="3021" w:type="dxa"/>
          </w:tcPr>
          <w:p w14:paraId="11F86186">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w:t>
            </w:r>
          </w:p>
        </w:tc>
      </w:tr>
      <w:tr w14:paraId="3FCF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30A55002">
            <w:pPr>
              <w:numPr>
                <w:ilvl w:val="0"/>
                <w:numId w:val="0"/>
              </w:numPr>
              <w:bidi w:val="0"/>
              <w:jc w:val="center"/>
              <w:rPr>
                <w:rFonts w:hint="eastAsia" w:ascii="仿宋" w:hAnsi="仿宋" w:eastAsia="仿宋" w:cs="仿宋"/>
                <w:sz w:val="32"/>
                <w:szCs w:val="32"/>
                <w:vertAlign w:val="baseline"/>
                <w:lang w:val="en-US" w:eastAsia="zh-CN"/>
              </w:rPr>
            </w:pPr>
          </w:p>
        </w:tc>
        <w:tc>
          <w:tcPr>
            <w:tcW w:w="3020" w:type="dxa"/>
          </w:tcPr>
          <w:p w14:paraId="31B3B65F">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三等奖</w:t>
            </w:r>
          </w:p>
        </w:tc>
        <w:tc>
          <w:tcPr>
            <w:tcW w:w="3021" w:type="dxa"/>
          </w:tcPr>
          <w:p w14:paraId="77CC218E">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r>
      <w:tr w14:paraId="394F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vAlign w:val="center"/>
          </w:tcPr>
          <w:p w14:paraId="695B8E93">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省部级</w:t>
            </w:r>
          </w:p>
        </w:tc>
        <w:tc>
          <w:tcPr>
            <w:tcW w:w="3020" w:type="dxa"/>
            <w:vAlign w:val="top"/>
          </w:tcPr>
          <w:p w14:paraId="544E862D">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特等奖</w:t>
            </w:r>
          </w:p>
        </w:tc>
        <w:tc>
          <w:tcPr>
            <w:tcW w:w="3021" w:type="dxa"/>
          </w:tcPr>
          <w:p w14:paraId="5C96F3AF">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30</w:t>
            </w:r>
          </w:p>
        </w:tc>
      </w:tr>
      <w:tr w14:paraId="0E36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6A285942">
            <w:pPr>
              <w:numPr>
                <w:ilvl w:val="0"/>
                <w:numId w:val="0"/>
              </w:numPr>
              <w:bidi w:val="0"/>
              <w:jc w:val="center"/>
              <w:rPr>
                <w:rFonts w:hint="eastAsia" w:ascii="仿宋" w:hAnsi="仿宋" w:eastAsia="仿宋" w:cs="仿宋"/>
                <w:sz w:val="32"/>
                <w:szCs w:val="32"/>
                <w:vertAlign w:val="baseline"/>
                <w:lang w:val="en-US" w:eastAsia="zh-CN"/>
              </w:rPr>
            </w:pPr>
          </w:p>
        </w:tc>
        <w:tc>
          <w:tcPr>
            <w:tcW w:w="3020" w:type="dxa"/>
            <w:vAlign w:val="top"/>
          </w:tcPr>
          <w:p w14:paraId="41668224">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一等奖</w:t>
            </w:r>
          </w:p>
        </w:tc>
        <w:tc>
          <w:tcPr>
            <w:tcW w:w="3021" w:type="dxa"/>
          </w:tcPr>
          <w:p w14:paraId="4447D850">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r>
      <w:tr w14:paraId="41DE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5441A79A">
            <w:pPr>
              <w:numPr>
                <w:ilvl w:val="0"/>
                <w:numId w:val="0"/>
              </w:numPr>
              <w:bidi w:val="0"/>
              <w:jc w:val="center"/>
              <w:rPr>
                <w:rFonts w:hint="eastAsia" w:ascii="仿宋" w:hAnsi="仿宋" w:eastAsia="仿宋" w:cs="仿宋"/>
                <w:sz w:val="32"/>
                <w:szCs w:val="32"/>
                <w:vertAlign w:val="baseline"/>
                <w:lang w:val="en-US" w:eastAsia="zh-CN"/>
              </w:rPr>
            </w:pPr>
          </w:p>
        </w:tc>
        <w:tc>
          <w:tcPr>
            <w:tcW w:w="3020" w:type="dxa"/>
            <w:vAlign w:val="top"/>
          </w:tcPr>
          <w:p w14:paraId="33E2AE77">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二等奖</w:t>
            </w:r>
          </w:p>
        </w:tc>
        <w:tc>
          <w:tcPr>
            <w:tcW w:w="3021" w:type="dxa"/>
          </w:tcPr>
          <w:p w14:paraId="4B9F1B26">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r>
      <w:tr w14:paraId="1144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tcPr>
          <w:p w14:paraId="077A9DE5">
            <w:pPr>
              <w:numPr>
                <w:ilvl w:val="0"/>
                <w:numId w:val="0"/>
              </w:numPr>
              <w:bidi w:val="0"/>
              <w:jc w:val="center"/>
              <w:rPr>
                <w:rFonts w:hint="eastAsia" w:ascii="仿宋" w:hAnsi="仿宋" w:eastAsia="仿宋" w:cs="仿宋"/>
                <w:sz w:val="32"/>
                <w:szCs w:val="32"/>
                <w:vertAlign w:val="baseline"/>
                <w:lang w:val="en-US" w:eastAsia="zh-CN"/>
              </w:rPr>
            </w:pPr>
          </w:p>
        </w:tc>
        <w:tc>
          <w:tcPr>
            <w:tcW w:w="3020" w:type="dxa"/>
            <w:vAlign w:val="top"/>
          </w:tcPr>
          <w:p w14:paraId="1F7AC03A">
            <w:pPr>
              <w:numPr>
                <w:ilvl w:val="0"/>
                <w:numId w:val="0"/>
              </w:numPr>
              <w:bidi w:val="0"/>
              <w:ind w:left="0" w:leftChars="0" w:firstLine="0" w:firstLineChars="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三等奖</w:t>
            </w:r>
          </w:p>
        </w:tc>
        <w:tc>
          <w:tcPr>
            <w:tcW w:w="3021" w:type="dxa"/>
          </w:tcPr>
          <w:p w14:paraId="067AEA6C">
            <w:pPr>
              <w:numPr>
                <w:ilvl w:val="0"/>
                <w:numId w:val="0"/>
              </w:numPr>
              <w:bidi w:val="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r>
    </w:tbl>
    <w:p w14:paraId="6364D2DC">
      <w:pPr>
        <w:numPr>
          <w:ilvl w:val="0"/>
          <w:numId w:val="0"/>
        </w:numPr>
        <w:bidi w:val="0"/>
        <w:jc w:val="center"/>
        <w:rPr>
          <w:rFonts w:hint="eastAsia" w:ascii="仿宋" w:hAnsi="仿宋" w:eastAsia="仿宋" w:cs="仿宋"/>
          <w:sz w:val="32"/>
          <w:szCs w:val="32"/>
          <w:lang w:val="en-US" w:eastAsia="zh-CN"/>
        </w:rPr>
      </w:pPr>
    </w:p>
    <w:p w14:paraId="6E086EDD">
      <w:pPr>
        <w:numPr>
          <w:ilvl w:val="0"/>
          <w:numId w:val="0"/>
        </w:numPr>
        <w:bidi w:val="0"/>
        <w:jc w:val="both"/>
        <w:rPr>
          <w:rFonts w:hint="eastAsia" w:ascii="仿宋" w:hAnsi="仿宋" w:eastAsia="仿宋" w:cs="仿宋"/>
          <w:sz w:val="32"/>
          <w:szCs w:val="32"/>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E76C8"/>
    <w:multiLevelType w:val="singleLevel"/>
    <w:tmpl w:val="8BEE76C8"/>
    <w:lvl w:ilvl="0" w:tentative="0">
      <w:start w:val="1"/>
      <w:numFmt w:val="chineseCounting"/>
      <w:suff w:val="nothing"/>
      <w:lvlText w:val="（%1）"/>
      <w:lvlJc w:val="left"/>
      <w:rPr>
        <w:rFonts w:hint="eastAsia"/>
      </w:rPr>
    </w:lvl>
  </w:abstractNum>
  <w:abstractNum w:abstractNumId="1">
    <w:nsid w:val="99B9621C"/>
    <w:multiLevelType w:val="singleLevel"/>
    <w:tmpl w:val="99B9621C"/>
    <w:lvl w:ilvl="0" w:tentative="0">
      <w:start w:val="3"/>
      <w:numFmt w:val="decimal"/>
      <w:suff w:val="nothing"/>
      <w:lvlText w:val="（%1）"/>
      <w:lvlJc w:val="left"/>
    </w:lvl>
  </w:abstractNum>
  <w:abstractNum w:abstractNumId="2">
    <w:nsid w:val="B912EC73"/>
    <w:multiLevelType w:val="singleLevel"/>
    <w:tmpl w:val="B912EC7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TQ5Njc3MTNiNmQ2ZmZhMGQxMDMxMWFmY2NkZjUifQ=="/>
  </w:docVars>
  <w:rsids>
    <w:rsidRoot w:val="00AB7CB5"/>
    <w:rsid w:val="000531AB"/>
    <w:rsid w:val="00303D25"/>
    <w:rsid w:val="006249A2"/>
    <w:rsid w:val="00816205"/>
    <w:rsid w:val="009050FA"/>
    <w:rsid w:val="00AB2539"/>
    <w:rsid w:val="00AB7CB5"/>
    <w:rsid w:val="00B02FC3"/>
    <w:rsid w:val="00F043BD"/>
    <w:rsid w:val="00F53A87"/>
    <w:rsid w:val="024220C2"/>
    <w:rsid w:val="043207D4"/>
    <w:rsid w:val="0438160E"/>
    <w:rsid w:val="0640503D"/>
    <w:rsid w:val="0BEF539E"/>
    <w:rsid w:val="0C293400"/>
    <w:rsid w:val="0DDA0BC8"/>
    <w:rsid w:val="0E433E81"/>
    <w:rsid w:val="1560310A"/>
    <w:rsid w:val="168F2958"/>
    <w:rsid w:val="1F5F4D13"/>
    <w:rsid w:val="1FFF0093"/>
    <w:rsid w:val="29CC77B7"/>
    <w:rsid w:val="2B4D6F9B"/>
    <w:rsid w:val="2DD307C3"/>
    <w:rsid w:val="33577587"/>
    <w:rsid w:val="390E4319"/>
    <w:rsid w:val="396453A1"/>
    <w:rsid w:val="3AC52AAC"/>
    <w:rsid w:val="3AEA7CFE"/>
    <w:rsid w:val="3D15214B"/>
    <w:rsid w:val="46757966"/>
    <w:rsid w:val="4A2B1ACE"/>
    <w:rsid w:val="4EF94E89"/>
    <w:rsid w:val="4FE66C2C"/>
    <w:rsid w:val="534A5215"/>
    <w:rsid w:val="595F6845"/>
    <w:rsid w:val="5DC02338"/>
    <w:rsid w:val="5E8F1B4B"/>
    <w:rsid w:val="5E9B2216"/>
    <w:rsid w:val="5F3505B6"/>
    <w:rsid w:val="61731C4F"/>
    <w:rsid w:val="632B57E4"/>
    <w:rsid w:val="639E5704"/>
    <w:rsid w:val="63A34684"/>
    <w:rsid w:val="63FA2A84"/>
    <w:rsid w:val="641A5748"/>
    <w:rsid w:val="6BF110A3"/>
    <w:rsid w:val="6CBA6834"/>
    <w:rsid w:val="70AC7913"/>
    <w:rsid w:val="73C97191"/>
    <w:rsid w:val="740E44C8"/>
    <w:rsid w:val="74A23644"/>
    <w:rsid w:val="751E62F5"/>
    <w:rsid w:val="7DB2091D"/>
    <w:rsid w:val="7DC63B8D"/>
    <w:rsid w:val="7E105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26E5" w:themeColor="hyperlink"/>
      <w:u w:val="single"/>
      <w14:textFill>
        <w14:solidFill>
          <w14:schemeClr w14:val="hlink"/>
        </w14:solidFill>
      </w14:textFill>
    </w:rPr>
  </w:style>
  <w:style w:type="character" w:customStyle="1" w:styleId="10">
    <w:name w:val="页眉 字符"/>
    <w:basedOn w:val="7"/>
    <w:link w:val="3"/>
    <w:qFormat/>
    <w:uiPriority w:val="0"/>
    <w:rPr>
      <w:kern w:val="2"/>
      <w:sz w:val="18"/>
      <w:szCs w:val="18"/>
    </w:rPr>
  </w:style>
  <w:style w:type="character" w:customStyle="1" w:styleId="11">
    <w:name w:val="页脚 字符"/>
    <w:basedOn w:val="7"/>
    <w:link w:val="2"/>
    <w:qFormat/>
    <w:uiPriority w:val="0"/>
    <w:rPr>
      <w:kern w:val="2"/>
      <w:sz w:val="18"/>
      <w:szCs w:val="18"/>
    </w:rPr>
  </w:style>
  <w:style w:type="character" w:customStyle="1" w:styleId="12">
    <w:name w:val="Unresolved Mention"/>
    <w:basedOn w:val="7"/>
    <w:semiHidden/>
    <w:unhideWhenUsed/>
    <w:qFormat/>
    <w:uiPriority w:val="99"/>
    <w:rPr>
      <w:color w:val="605E5C"/>
      <w:shd w:val="clear" w:color="auto" w:fill="E1DFDD"/>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5692</Words>
  <Characters>5988</Characters>
  <Lines>7</Lines>
  <Paragraphs>2</Paragraphs>
  <TotalTime>1</TotalTime>
  <ScaleCrop>false</ScaleCrop>
  <LinksUpToDate>false</LinksUpToDate>
  <CharactersWithSpaces>6002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2024-11-20T02:52:00Z</dcterms:created>
  <dc:creator>huawei</dc:creator>
  <cp:lastModifiedBy>白鹭成双</cp:lastModifiedBy>
  <cp:lastPrinted>2025-01-08T02:53:00Z</cp:lastPrinted>
  <dcterms:modified xsi:type="dcterms:W3CDTF">2025-12-26T04:03:51Z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86A4E48BB059414985276C9F89E52A42_13</vt:lpwstr>
  </property>
  <property fmtid="{D5CDD505-2E9C-101B-9397-08002B2CF9AE}" pid="4" name="KSOTemplateDocerSaveRecord">
    <vt:lpwstr>eyJoZGlkIjoiMWZjZTQ5Njc3MTNiNmQ2ZmZhMGQxMDMxMWFmY2NkZjUiLCJ1c2VySWQiOiIzMDcxODc4NDEifQ==</vt:lpwstr>
  </property>
</Properties>
</file>